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72C51" w14:textId="77777777" w:rsidR="005237BD" w:rsidRPr="00833B5D" w:rsidRDefault="005237BD" w:rsidP="004E7E50">
      <w:pPr>
        <w:pStyle w:val="a3"/>
        <w:ind w:left="5954"/>
        <w:jc w:val="center"/>
        <w:rPr>
          <w:b/>
          <w:bCs/>
          <w:sz w:val="24"/>
          <w:szCs w:val="24"/>
        </w:rPr>
      </w:pPr>
      <w:r w:rsidRPr="00833B5D">
        <w:rPr>
          <w:b/>
          <w:bCs/>
          <w:sz w:val="24"/>
          <w:szCs w:val="24"/>
        </w:rPr>
        <w:t>УТВЕРЖДЕНО</w:t>
      </w:r>
    </w:p>
    <w:p w14:paraId="4D5C131D" w14:textId="77777777" w:rsidR="005237BD" w:rsidRPr="00833B5D" w:rsidRDefault="005237BD" w:rsidP="004E7E50">
      <w:pPr>
        <w:pStyle w:val="a3"/>
        <w:ind w:left="5954"/>
        <w:jc w:val="center"/>
        <w:rPr>
          <w:b/>
          <w:bCs/>
          <w:sz w:val="24"/>
          <w:szCs w:val="24"/>
        </w:rPr>
      </w:pPr>
      <w:r w:rsidRPr="00833B5D">
        <w:rPr>
          <w:b/>
          <w:bCs/>
          <w:sz w:val="24"/>
          <w:szCs w:val="24"/>
        </w:rPr>
        <w:t>Приказ Министерства здравоохранения Украины</w:t>
      </w:r>
    </w:p>
    <w:p w14:paraId="60562AC2" w14:textId="77777777" w:rsidR="005237BD" w:rsidRPr="00833B5D" w:rsidRDefault="00B25273" w:rsidP="004E7E50">
      <w:pPr>
        <w:pStyle w:val="a3"/>
        <w:ind w:left="5954"/>
        <w:jc w:val="center"/>
        <w:rPr>
          <w:b/>
          <w:bCs/>
          <w:sz w:val="24"/>
          <w:szCs w:val="24"/>
        </w:rPr>
      </w:pPr>
      <w:r w:rsidRPr="00833B5D">
        <w:rPr>
          <w:b/>
          <w:bCs/>
          <w:sz w:val="24"/>
          <w:szCs w:val="24"/>
        </w:rPr>
        <w:t>09.04.2020 № 824</w:t>
      </w:r>
    </w:p>
    <w:p w14:paraId="64B32B8B" w14:textId="77777777" w:rsidR="005237BD" w:rsidRPr="00833B5D" w:rsidRDefault="005237BD" w:rsidP="004E7E50">
      <w:pPr>
        <w:pStyle w:val="a3"/>
        <w:ind w:left="5954"/>
        <w:jc w:val="center"/>
        <w:rPr>
          <w:b/>
          <w:bCs/>
          <w:sz w:val="24"/>
          <w:szCs w:val="24"/>
        </w:rPr>
      </w:pPr>
      <w:r w:rsidRPr="00833B5D">
        <w:rPr>
          <w:b/>
          <w:bCs/>
          <w:sz w:val="24"/>
          <w:szCs w:val="24"/>
        </w:rPr>
        <w:t>Регистрационное свидетельство</w:t>
      </w:r>
    </w:p>
    <w:p w14:paraId="489A4FE2" w14:textId="77777777" w:rsidR="00E2203E" w:rsidRPr="00833B5D" w:rsidRDefault="00E2203E" w:rsidP="004E7E50">
      <w:pPr>
        <w:pStyle w:val="a3"/>
        <w:ind w:left="5954"/>
        <w:jc w:val="center"/>
        <w:rPr>
          <w:b/>
          <w:bCs/>
          <w:sz w:val="24"/>
          <w:szCs w:val="24"/>
        </w:rPr>
      </w:pPr>
      <w:bookmarkStart w:id="0" w:name="_Hlk10018303"/>
      <w:r w:rsidRPr="00833B5D">
        <w:rPr>
          <w:b/>
          <w:bCs/>
          <w:sz w:val="24"/>
          <w:szCs w:val="24"/>
        </w:rPr>
        <w:t>№ UA/3685/01/01</w:t>
      </w:r>
    </w:p>
    <w:bookmarkEnd w:id="0"/>
    <w:p w14:paraId="62F76984" w14:textId="77777777" w:rsidR="00B11795" w:rsidRPr="00833B5D" w:rsidRDefault="00B11795" w:rsidP="0005696A">
      <w:pPr>
        <w:ind w:left="5954"/>
        <w:jc w:val="center"/>
        <w:rPr>
          <w:lang w:val="uk-UA"/>
        </w:rPr>
      </w:pPr>
    </w:p>
    <w:p w14:paraId="4897D3AE" w14:textId="77777777" w:rsidR="00A149E1" w:rsidRPr="00833B5D" w:rsidRDefault="00A149E1" w:rsidP="00A149E1">
      <w:pPr>
        <w:ind w:left="5954"/>
        <w:jc w:val="center"/>
        <w:rPr>
          <w:b/>
        </w:rPr>
      </w:pPr>
      <w:r w:rsidRPr="00833B5D">
        <w:rPr>
          <w:b/>
        </w:rPr>
        <w:t>ИЗМЕНЕНИЯ ВНЕСЕНЫ</w:t>
      </w:r>
    </w:p>
    <w:p w14:paraId="03A0952E" w14:textId="77777777" w:rsidR="00A149E1" w:rsidRPr="00833B5D" w:rsidRDefault="00A149E1" w:rsidP="00A149E1">
      <w:pPr>
        <w:ind w:left="5954"/>
        <w:jc w:val="center"/>
        <w:rPr>
          <w:b/>
        </w:rPr>
      </w:pPr>
      <w:r w:rsidRPr="00833B5D">
        <w:rPr>
          <w:b/>
        </w:rPr>
        <w:t>Приказ Министерства охраны</w:t>
      </w:r>
    </w:p>
    <w:p w14:paraId="4287A674" w14:textId="77777777" w:rsidR="00A149E1" w:rsidRPr="00833B5D" w:rsidRDefault="00A149E1" w:rsidP="00A149E1">
      <w:pPr>
        <w:ind w:left="5954"/>
        <w:jc w:val="center"/>
        <w:rPr>
          <w:b/>
        </w:rPr>
      </w:pPr>
      <w:r w:rsidRPr="00833B5D">
        <w:rPr>
          <w:b/>
        </w:rPr>
        <w:t>здоровья Украины</w:t>
      </w:r>
    </w:p>
    <w:p w14:paraId="69099870" w14:textId="77777777" w:rsidR="00A149E1" w:rsidRPr="00833B5D" w:rsidRDefault="001C2692" w:rsidP="00A149E1">
      <w:pPr>
        <w:ind w:left="5954"/>
        <w:jc w:val="center"/>
        <w:rPr>
          <w:b/>
        </w:rPr>
      </w:pPr>
      <w:r w:rsidRPr="00833B5D">
        <w:rPr>
          <w:b/>
        </w:rPr>
        <w:t>23.04.2020 № 945</w:t>
      </w:r>
    </w:p>
    <w:p w14:paraId="3029FAE6" w14:textId="77777777" w:rsidR="00E2203E" w:rsidRPr="00833B5D" w:rsidRDefault="00E2203E" w:rsidP="00491C9E">
      <w:pPr>
        <w:jc w:val="center"/>
        <w:rPr>
          <w:lang w:val="uk-UA"/>
        </w:rPr>
      </w:pPr>
    </w:p>
    <w:p w14:paraId="558B06D8" w14:textId="77777777" w:rsidR="00BC4634" w:rsidRPr="00833B5D" w:rsidRDefault="00BC4634">
      <w:pPr>
        <w:jc w:val="center"/>
        <w:rPr>
          <w:b/>
        </w:rPr>
      </w:pPr>
      <w:bookmarkStart w:id="1" w:name="_Hlk10449259"/>
      <w:r w:rsidRPr="00833B5D">
        <w:rPr>
          <w:b/>
        </w:rPr>
        <w:t>ИНСТРУКЦИЯ</w:t>
      </w:r>
    </w:p>
    <w:p w14:paraId="51927CA3" w14:textId="376AEBFE" w:rsidR="00BC4634" w:rsidRPr="00833B5D" w:rsidRDefault="00DE254B">
      <w:pPr>
        <w:jc w:val="center"/>
        <w:rPr>
          <w:b/>
        </w:rPr>
      </w:pPr>
      <w:r w:rsidRPr="00A92007">
        <w:rPr>
          <w:b/>
        </w:rPr>
        <w:t>по медицинскому применению лекарственного средства</w:t>
      </w:r>
    </w:p>
    <w:p w14:paraId="7BC44FD4" w14:textId="77777777" w:rsidR="00E6039D" w:rsidRPr="00833B5D" w:rsidRDefault="00E6039D">
      <w:pPr>
        <w:ind w:left="2040" w:right="2000"/>
        <w:jc w:val="center"/>
        <w:rPr>
          <w:b/>
          <w:lang w:val="uk-UA"/>
        </w:rPr>
      </w:pPr>
    </w:p>
    <w:p w14:paraId="35377752" w14:textId="77777777" w:rsidR="00E2203E" w:rsidRPr="00833B5D" w:rsidRDefault="00E2203E" w:rsidP="00E2203E">
      <w:pPr>
        <w:jc w:val="center"/>
        <w:rPr>
          <w:b/>
        </w:rPr>
      </w:pPr>
      <w:r w:rsidRPr="00833B5D">
        <w:rPr>
          <w:b/>
        </w:rPr>
        <w:t>НЕЙРО-НОРМ</w:t>
      </w:r>
    </w:p>
    <w:p w14:paraId="2BE94FA5" w14:textId="77777777" w:rsidR="00E2203E" w:rsidRPr="00833B5D" w:rsidRDefault="00E2203E" w:rsidP="00E2203E">
      <w:pPr>
        <w:jc w:val="center"/>
        <w:rPr>
          <w:b/>
        </w:rPr>
      </w:pPr>
      <w:r w:rsidRPr="00833B5D">
        <w:rPr>
          <w:b/>
        </w:rPr>
        <w:t>(NEURO-NORM)</w:t>
      </w:r>
    </w:p>
    <w:p w14:paraId="30A13207" w14:textId="77777777" w:rsidR="0095487D" w:rsidRPr="00833B5D" w:rsidRDefault="0095487D">
      <w:pPr>
        <w:jc w:val="both"/>
        <w:rPr>
          <w:b/>
          <w:i/>
          <w:lang w:val="uk-UA"/>
        </w:rPr>
      </w:pPr>
    </w:p>
    <w:p w14:paraId="3308FC27" w14:textId="77777777" w:rsidR="0095487D" w:rsidRPr="00833B5D" w:rsidRDefault="0095487D">
      <w:pPr>
        <w:jc w:val="both"/>
        <w:rPr>
          <w:b/>
          <w:i/>
          <w:lang w:val="uk-UA"/>
        </w:rPr>
      </w:pPr>
    </w:p>
    <w:p w14:paraId="7ABE3430" w14:textId="77777777" w:rsidR="0095487D" w:rsidRPr="00833B5D" w:rsidRDefault="00BC4634">
      <w:pPr>
        <w:jc w:val="both"/>
        <w:rPr>
          <w:b/>
          <w:i/>
        </w:rPr>
      </w:pPr>
      <w:bookmarkStart w:id="2" w:name="_Hlk29475801"/>
      <w:r w:rsidRPr="00833B5D">
        <w:rPr>
          <w:b/>
          <w:i/>
        </w:rPr>
        <w:t>Состав:</w:t>
      </w:r>
    </w:p>
    <w:p w14:paraId="6DE51556" w14:textId="77777777" w:rsidR="00D060AB" w:rsidRPr="00833B5D" w:rsidRDefault="00E2203E" w:rsidP="00E2203E">
      <w:pPr>
        <w:jc w:val="both"/>
      </w:pPr>
      <w:r w:rsidRPr="00833B5D">
        <w:rPr>
          <w:i/>
        </w:rPr>
        <w:t>действующее вещество:</w:t>
      </w:r>
      <w:r w:rsidRPr="00833B5D">
        <w:t xml:space="preserve"> </w:t>
      </w:r>
      <w:hyperlink r:id="rId10" w:history="1">
        <w:proofErr w:type="spellStart"/>
        <w:r w:rsidRPr="00833B5D">
          <w:t>piracetam</w:t>
        </w:r>
        <w:proofErr w:type="spellEnd"/>
      </w:hyperlink>
      <w:r w:rsidRPr="00833B5D">
        <w:t xml:space="preserve">, </w:t>
      </w:r>
      <w:proofErr w:type="spellStart"/>
      <w:r w:rsidRPr="00833B5D">
        <w:t>cinnarizine</w:t>
      </w:r>
      <w:proofErr w:type="spellEnd"/>
      <w:r w:rsidRPr="00833B5D">
        <w:t>.</w:t>
      </w:r>
    </w:p>
    <w:p w14:paraId="087086D9" w14:textId="24093B56" w:rsidR="00E2203E" w:rsidRPr="00833B5D" w:rsidRDefault="00E2203E" w:rsidP="00E2203E">
      <w:pPr>
        <w:jc w:val="both"/>
      </w:pPr>
      <w:r w:rsidRPr="00833B5D">
        <w:t xml:space="preserve">1 таблетка содержит: </w:t>
      </w:r>
      <w:proofErr w:type="spellStart"/>
      <w:r w:rsidRPr="00833B5D">
        <w:t>пирацетама</w:t>
      </w:r>
      <w:proofErr w:type="spellEnd"/>
      <w:r w:rsidRPr="00833B5D">
        <w:t xml:space="preserve"> 400 мг, </w:t>
      </w:r>
      <w:r w:rsidR="00187BCB">
        <w:t>циннаризин</w:t>
      </w:r>
      <w:r w:rsidRPr="00833B5D">
        <w:t>а 25 мг;</w:t>
      </w:r>
    </w:p>
    <w:p w14:paraId="5FF1D705" w14:textId="77777777" w:rsidR="00E2203E" w:rsidRPr="00833B5D" w:rsidRDefault="00E2203E" w:rsidP="00E2203E">
      <w:pPr>
        <w:jc w:val="both"/>
      </w:pPr>
      <w:r w:rsidRPr="00833B5D">
        <w:rPr>
          <w:i/>
        </w:rPr>
        <w:t xml:space="preserve">вспомогательные вещества: </w:t>
      </w:r>
      <w:r w:rsidRPr="00833B5D">
        <w:t xml:space="preserve">лактоза моногидрат, кремния диоксид коллоидный безводный, </w:t>
      </w:r>
      <w:proofErr w:type="spellStart"/>
      <w:r w:rsidRPr="00833B5D">
        <w:t>стеарат</w:t>
      </w:r>
      <w:proofErr w:type="spellEnd"/>
      <w:r w:rsidRPr="00833B5D">
        <w:t xml:space="preserve"> магния;</w:t>
      </w:r>
    </w:p>
    <w:p w14:paraId="5BD2D0C1" w14:textId="77777777" w:rsidR="00E2203E" w:rsidRPr="00833B5D" w:rsidRDefault="00E2203E" w:rsidP="00E2203E">
      <w:pPr>
        <w:jc w:val="both"/>
      </w:pPr>
      <w:r w:rsidRPr="00833B5D">
        <w:t>твердые желатиновые капсулы: желатин, титана диоксида (Е 171).</w:t>
      </w:r>
    </w:p>
    <w:p w14:paraId="419F5235" w14:textId="77777777" w:rsidR="00BC4634" w:rsidRPr="00833B5D" w:rsidRDefault="00BC4634">
      <w:pPr>
        <w:jc w:val="both"/>
        <w:rPr>
          <w:lang w:val="uk-UA"/>
        </w:rPr>
      </w:pPr>
    </w:p>
    <w:p w14:paraId="182189C8" w14:textId="77777777" w:rsidR="00E2203E" w:rsidRPr="00833B5D" w:rsidRDefault="00BC4634" w:rsidP="00E2203E">
      <w:pPr>
        <w:jc w:val="both"/>
      </w:pPr>
      <w:r w:rsidRPr="00833B5D">
        <w:rPr>
          <w:b/>
        </w:rPr>
        <w:t xml:space="preserve">Лекарственная форма </w:t>
      </w:r>
      <w:r w:rsidRPr="00833B5D">
        <w:t>Капсулы.</w:t>
      </w:r>
    </w:p>
    <w:p w14:paraId="59AF7EEB" w14:textId="77777777" w:rsidR="00E2203E" w:rsidRPr="00833B5D" w:rsidRDefault="00E2203E" w:rsidP="00E2203E">
      <w:pPr>
        <w:ind w:right="-1"/>
        <w:jc w:val="both"/>
        <w:rPr>
          <w:bCs/>
        </w:rPr>
      </w:pPr>
      <w:r w:rsidRPr="00833B5D">
        <w:rPr>
          <w:bCs/>
          <w:i/>
        </w:rPr>
        <w:t xml:space="preserve">Основные физико-химические свойства: </w:t>
      </w:r>
      <w:r w:rsidRPr="00833B5D">
        <w:t>желатиновые твердые капсулы с крышечкой и корпусом белого цвета, содержащие порошок белого цвета.</w:t>
      </w:r>
    </w:p>
    <w:p w14:paraId="3CA4DF3A" w14:textId="77777777" w:rsidR="00756AB3" w:rsidRPr="00833B5D" w:rsidRDefault="00756AB3">
      <w:pPr>
        <w:autoSpaceDE w:val="0"/>
        <w:autoSpaceDN w:val="0"/>
        <w:adjustRightInd w:val="0"/>
        <w:rPr>
          <w:b/>
          <w:lang w:val="uk-UA"/>
        </w:rPr>
      </w:pPr>
    </w:p>
    <w:p w14:paraId="1C149674" w14:textId="77777777" w:rsidR="00837E20" w:rsidRPr="00833B5D" w:rsidRDefault="00BC4634" w:rsidP="00E2203E">
      <w:pPr>
        <w:autoSpaceDE w:val="0"/>
        <w:autoSpaceDN w:val="0"/>
        <w:adjustRightInd w:val="0"/>
        <w:rPr>
          <w:b/>
        </w:rPr>
      </w:pPr>
      <w:r w:rsidRPr="00833B5D">
        <w:rPr>
          <w:b/>
        </w:rPr>
        <w:t>Фармакотерапевтическая группа.</w:t>
      </w:r>
    </w:p>
    <w:p w14:paraId="5CDCA692" w14:textId="77777777" w:rsidR="00BC4634" w:rsidRPr="00833B5D" w:rsidRDefault="00837E20" w:rsidP="00E2203E">
      <w:pPr>
        <w:autoSpaceDE w:val="0"/>
        <w:autoSpaceDN w:val="0"/>
        <w:adjustRightInd w:val="0"/>
        <w:rPr>
          <w:bCs/>
        </w:rPr>
      </w:pPr>
      <w:r w:rsidRPr="00833B5D">
        <w:t>Прочие психостимулирующие и ноотропные средства. Код АТХ N06В Х.</w:t>
      </w:r>
    </w:p>
    <w:p w14:paraId="17EF255B" w14:textId="77777777" w:rsidR="00E2203E" w:rsidRPr="00833B5D" w:rsidRDefault="00E2203E">
      <w:pPr>
        <w:jc w:val="both"/>
        <w:rPr>
          <w:b/>
          <w:lang w:val="uk-UA"/>
        </w:rPr>
      </w:pPr>
    </w:p>
    <w:p w14:paraId="4C78C044" w14:textId="77777777" w:rsidR="00435B55" w:rsidRPr="00833B5D" w:rsidRDefault="00435B55" w:rsidP="00435B55">
      <w:pPr>
        <w:rPr>
          <w:b/>
          <w:i/>
        </w:rPr>
      </w:pPr>
      <w:r w:rsidRPr="00833B5D">
        <w:rPr>
          <w:b/>
          <w:i/>
        </w:rPr>
        <w:t>Фармакологические свойства.</w:t>
      </w:r>
    </w:p>
    <w:p w14:paraId="4F74D0FC" w14:textId="77777777" w:rsidR="00435B55" w:rsidRPr="00833B5D" w:rsidRDefault="0091728E" w:rsidP="00435B55">
      <w:pPr>
        <w:widowControl w:val="0"/>
        <w:snapToGrid w:val="0"/>
        <w:jc w:val="both"/>
        <w:rPr>
          <w:i/>
        </w:rPr>
      </w:pPr>
      <w:proofErr w:type="spellStart"/>
      <w:r w:rsidRPr="00833B5D">
        <w:rPr>
          <w:i/>
        </w:rPr>
        <w:t>Фармакодинамика</w:t>
      </w:r>
      <w:proofErr w:type="spellEnd"/>
      <w:r w:rsidRPr="00833B5D">
        <w:rPr>
          <w:i/>
        </w:rPr>
        <w:t>.</w:t>
      </w:r>
    </w:p>
    <w:p w14:paraId="4F823D0C" w14:textId="6477281F" w:rsidR="00E2203E" w:rsidRPr="00833B5D" w:rsidRDefault="00E2203E" w:rsidP="00E2203E">
      <w:pPr>
        <w:jc w:val="both"/>
        <w:rPr>
          <w:bCs/>
        </w:rPr>
      </w:pPr>
      <w:r w:rsidRPr="00833B5D">
        <w:t xml:space="preserve">Нейро-Норм – комбинированное лекарственное средство. Активными компонентами лекарственного средства являются </w:t>
      </w:r>
      <w:proofErr w:type="spellStart"/>
      <w:r w:rsidRPr="00833B5D">
        <w:t>пирацетам</w:t>
      </w:r>
      <w:proofErr w:type="spellEnd"/>
      <w:r w:rsidRPr="00833B5D">
        <w:t xml:space="preserve"> – циклическое производное γ-аминомасляной кислоты, и </w:t>
      </w:r>
      <w:r w:rsidR="00187BCB">
        <w:t>циннаризин</w:t>
      </w:r>
      <w:r w:rsidRPr="00833B5D">
        <w:t xml:space="preserve"> – селективный антагонист кальциевых каналов.</w:t>
      </w:r>
    </w:p>
    <w:p w14:paraId="526CC59B" w14:textId="29384B06" w:rsidR="00E2203E" w:rsidRPr="00833B5D" w:rsidRDefault="00E2203E" w:rsidP="00E2203E">
      <w:pPr>
        <w:jc w:val="both"/>
        <w:rPr>
          <w:bCs/>
        </w:rPr>
      </w:pPr>
      <w:proofErr w:type="spellStart"/>
      <w:r w:rsidRPr="00833B5D">
        <w:rPr>
          <w:i/>
        </w:rPr>
        <w:t>Пирацетам</w:t>
      </w:r>
      <w:proofErr w:type="spellEnd"/>
      <w:r w:rsidRPr="00833B5D">
        <w:t xml:space="preserve"> является ноотропным средством, действующим на мозг, улучшая когнитивные (познавательные) функции, такие как обучаемость, память, внимание, а также умственную работоспособность. Механизмов влияния лекарственного средства на центральную нервную систему (ЦНС), вероятно, несколько: изменение скорости распространения возбуждения в головном мозге; усиление метаболических процессов в нервных клетках; улучшение микроциркуляции путем воздействия на реологические характеристики крови, не оказывая при этом сосудорасширяющего действия. Улучшает связи между полушариями головного мозга и синаптическую проводимость в </w:t>
      </w:r>
      <w:proofErr w:type="spellStart"/>
      <w:r w:rsidRPr="00833B5D">
        <w:t>неокортикальных</w:t>
      </w:r>
      <w:proofErr w:type="spellEnd"/>
      <w:r w:rsidRPr="00833B5D">
        <w:t xml:space="preserve"> структурах. После длительного применения лекарственного средства у пациентов </w:t>
      </w:r>
      <w:r w:rsidRPr="00A92007">
        <w:t>с</w:t>
      </w:r>
      <w:r w:rsidR="005A3DD4" w:rsidRPr="00A92007">
        <w:t>о</w:t>
      </w:r>
      <w:r w:rsidRPr="00A92007">
        <w:t xml:space="preserve"> снижением мозговых функций отмечается улучшение когнитивных функций и внимания.</w:t>
      </w:r>
      <w:r w:rsidRPr="00833B5D">
        <w:t xml:space="preserve"> </w:t>
      </w:r>
    </w:p>
    <w:p w14:paraId="31E5B9C1" w14:textId="057E8FF3" w:rsidR="00E2203E" w:rsidRPr="00833B5D" w:rsidRDefault="00E2203E" w:rsidP="00E2203E">
      <w:pPr>
        <w:jc w:val="both"/>
        <w:rPr>
          <w:bCs/>
        </w:rPr>
      </w:pPr>
      <w:r w:rsidRPr="00833B5D">
        <w:rPr>
          <w:i/>
        </w:rPr>
        <w:t>Циннаризин</w:t>
      </w:r>
      <w:r w:rsidRPr="00833B5D">
        <w:t xml:space="preserve"> угнетает сокращение клеток гладких васкулярных мышц путем блокирования кальциевых каналов. В дополнение к прямому кальциевому антагонизму </w:t>
      </w:r>
      <w:r w:rsidR="00187BCB">
        <w:t>циннаризин</w:t>
      </w:r>
      <w:r w:rsidRPr="00833B5D">
        <w:t xml:space="preserve"> снижает сократительное действие вазоактивных веществ, таких как </w:t>
      </w:r>
      <w:proofErr w:type="spellStart"/>
      <w:r w:rsidRPr="00833B5D">
        <w:t>норепинефрин</w:t>
      </w:r>
      <w:proofErr w:type="spellEnd"/>
      <w:r w:rsidRPr="00833B5D">
        <w:t xml:space="preserve"> и серотонин путем блокирования контролируемых ими рецепторов кальциевых каналов. Блокада поступления кальция в клетки зависит от разновидности ткани, результатом ее является </w:t>
      </w:r>
      <w:proofErr w:type="spellStart"/>
      <w:r w:rsidRPr="00833B5D">
        <w:t>антивазоконстрикторное</w:t>
      </w:r>
      <w:proofErr w:type="spellEnd"/>
      <w:r w:rsidRPr="00833B5D">
        <w:t xml:space="preserve"> действие без воздействия на артериальное давление и частоту сердечных сокращений. Циннаризин может в дальнейшем улучшать недостаточную микроциркуляцию путем повышения эластичности мембраны эритроцитов и снижения вязкости крови. Увеличивается клеточная резистентность к гипоксии. Циннаризин угнетает стимуляцию вестибулярной системы, что ведет к угнетению нистагма и других автономных расстройств. Циннаризин предотвращает возникновение острых приступов головокружения.</w:t>
      </w:r>
    </w:p>
    <w:p w14:paraId="5513F0E9" w14:textId="77777777" w:rsidR="00435B55" w:rsidRPr="00833B5D" w:rsidRDefault="00435B55" w:rsidP="00435B55">
      <w:pPr>
        <w:jc w:val="both"/>
        <w:rPr>
          <w:i/>
        </w:rPr>
      </w:pPr>
      <w:r w:rsidRPr="00833B5D">
        <w:rPr>
          <w:i/>
        </w:rPr>
        <w:t>Фармакокинетика.</w:t>
      </w:r>
    </w:p>
    <w:p w14:paraId="790E05A4" w14:textId="77777777" w:rsidR="00E2203E" w:rsidRPr="00833B5D" w:rsidRDefault="00E2203E" w:rsidP="00E2203E">
      <w:pPr>
        <w:jc w:val="both"/>
        <w:rPr>
          <w:bCs/>
        </w:rPr>
      </w:pPr>
      <w:r w:rsidRPr="00833B5D">
        <w:t>Комбинированное лекарственное средство быстро и полностью всасывается в желудочно-кишечном тракте.</w:t>
      </w:r>
    </w:p>
    <w:p w14:paraId="29FB4D1B" w14:textId="77777777" w:rsidR="00E2203E" w:rsidRPr="00833B5D" w:rsidRDefault="00E2203E" w:rsidP="00E2203E">
      <w:pPr>
        <w:jc w:val="both"/>
        <w:rPr>
          <w:bCs/>
        </w:rPr>
      </w:pPr>
      <w:r w:rsidRPr="00833B5D">
        <w:t xml:space="preserve">Терапевтический эффект проявляется через </w:t>
      </w:r>
      <w:proofErr w:type="gramStart"/>
      <w:r w:rsidRPr="00833B5D">
        <w:t>1-6</w:t>
      </w:r>
      <w:proofErr w:type="gramEnd"/>
      <w:r w:rsidRPr="00833B5D">
        <w:t xml:space="preserve"> часов. </w:t>
      </w:r>
    </w:p>
    <w:p w14:paraId="28C9C746" w14:textId="77777777" w:rsidR="00E2203E" w:rsidRPr="00833B5D" w:rsidRDefault="00E2203E" w:rsidP="00E2203E">
      <w:pPr>
        <w:jc w:val="both"/>
        <w:rPr>
          <w:bCs/>
        </w:rPr>
      </w:pPr>
      <w:r w:rsidRPr="00833B5D">
        <w:t xml:space="preserve">Максимальный уровень </w:t>
      </w:r>
      <w:proofErr w:type="spellStart"/>
      <w:r w:rsidRPr="00833B5D">
        <w:t>пирацетама</w:t>
      </w:r>
      <w:proofErr w:type="spellEnd"/>
      <w:r w:rsidRPr="00833B5D">
        <w:t xml:space="preserve"> в плазме крови отмечается через </w:t>
      </w:r>
      <w:proofErr w:type="gramStart"/>
      <w:r w:rsidRPr="00833B5D">
        <w:t>2-6</w:t>
      </w:r>
      <w:proofErr w:type="gramEnd"/>
      <w:r w:rsidRPr="00833B5D">
        <w:t xml:space="preserve"> часов. Распределение </w:t>
      </w:r>
      <w:proofErr w:type="spellStart"/>
      <w:r w:rsidRPr="00833B5D">
        <w:t>пирацетама</w:t>
      </w:r>
      <w:proofErr w:type="spellEnd"/>
      <w:r w:rsidRPr="00833B5D">
        <w:t xml:space="preserve"> во все важные органы происходит быстро. </w:t>
      </w:r>
      <w:proofErr w:type="spellStart"/>
      <w:r w:rsidRPr="00833B5D">
        <w:t>Пирацетам</w:t>
      </w:r>
      <w:proofErr w:type="spellEnd"/>
      <w:r w:rsidRPr="00833B5D">
        <w:t xml:space="preserve"> не связывается с белками плазмы крови и не </w:t>
      </w:r>
      <w:proofErr w:type="spellStart"/>
      <w:r w:rsidRPr="00833B5D">
        <w:t>метаболизируется</w:t>
      </w:r>
      <w:proofErr w:type="spellEnd"/>
      <w:r w:rsidRPr="00833B5D">
        <w:t xml:space="preserve"> в организме, хорошо проникает в ткани, через гематоэнцефалический барьер и плаценту. </w:t>
      </w:r>
      <w:proofErr w:type="spellStart"/>
      <w:r w:rsidRPr="00833B5D">
        <w:t>Пирацетам</w:t>
      </w:r>
      <w:proofErr w:type="spellEnd"/>
      <w:r w:rsidRPr="00833B5D">
        <w:t xml:space="preserve"> выводится с мочой в неизменном виде примерно через 30 часов.</w:t>
      </w:r>
    </w:p>
    <w:p w14:paraId="5FEE8053" w14:textId="376BABD9" w:rsidR="00E2203E" w:rsidRPr="00833B5D" w:rsidRDefault="00E2203E" w:rsidP="00E2203E">
      <w:pPr>
        <w:jc w:val="both"/>
        <w:rPr>
          <w:bCs/>
        </w:rPr>
      </w:pPr>
      <w:r w:rsidRPr="00833B5D">
        <w:t xml:space="preserve">Максимальный уровень </w:t>
      </w:r>
      <w:r w:rsidR="00187BCB">
        <w:t>циннаризин</w:t>
      </w:r>
      <w:r w:rsidRPr="00833B5D">
        <w:t xml:space="preserve">а через </w:t>
      </w:r>
      <w:proofErr w:type="gramStart"/>
      <w:r w:rsidRPr="00833B5D">
        <w:t>1-4</w:t>
      </w:r>
      <w:proofErr w:type="gramEnd"/>
      <w:r w:rsidRPr="00833B5D">
        <w:t xml:space="preserve"> ч отмечают не только в крови, а также в печени, почках, сердце, легких, селезенке и мозге. Связывается на 91% с протеинами плазмы крови. Циннаризин активно </w:t>
      </w:r>
      <w:proofErr w:type="spellStart"/>
      <w:r w:rsidRPr="00833B5D">
        <w:t>метаболизируется</w:t>
      </w:r>
      <w:proofErr w:type="spellEnd"/>
      <w:r w:rsidRPr="00833B5D">
        <w:t xml:space="preserve"> в печени. Приблизительно 30% метаболитов выводится мочой, остальные – через кишечник. Период полувыведения – около 4 часов.</w:t>
      </w:r>
    </w:p>
    <w:p w14:paraId="5BBDDD52" w14:textId="77777777" w:rsidR="00435B55" w:rsidRPr="00833B5D" w:rsidRDefault="00435B55">
      <w:pPr>
        <w:jc w:val="both"/>
        <w:rPr>
          <w:b/>
          <w:lang w:val="uk-UA"/>
        </w:rPr>
      </w:pPr>
    </w:p>
    <w:p w14:paraId="1DE08595" w14:textId="77777777" w:rsidR="002D7B4F" w:rsidRPr="00833B5D" w:rsidRDefault="002D7B4F" w:rsidP="002D7B4F">
      <w:pPr>
        <w:rPr>
          <w:b/>
          <w:i/>
        </w:rPr>
      </w:pPr>
      <w:r w:rsidRPr="00833B5D">
        <w:rPr>
          <w:b/>
        </w:rPr>
        <w:t>Клинические характеристики.</w:t>
      </w:r>
    </w:p>
    <w:p w14:paraId="49716318" w14:textId="77777777" w:rsidR="002D7B4F" w:rsidRPr="00833B5D" w:rsidRDefault="005E439D" w:rsidP="002D7B4F">
      <w:pPr>
        <w:widowControl w:val="0"/>
        <w:rPr>
          <w:b/>
          <w:i/>
        </w:rPr>
      </w:pPr>
      <w:r w:rsidRPr="00833B5D">
        <w:rPr>
          <w:b/>
          <w:i/>
        </w:rPr>
        <w:t>Показания.</w:t>
      </w:r>
    </w:p>
    <w:p w14:paraId="1DF371E1" w14:textId="77777777" w:rsidR="00E2203E" w:rsidRPr="00833B5D" w:rsidRDefault="00E2203E" w:rsidP="00E2203E">
      <w:pPr>
        <w:jc w:val="both"/>
        <w:rPr>
          <w:i/>
        </w:rPr>
      </w:pPr>
      <w:r w:rsidRPr="00833B5D">
        <w:rPr>
          <w:i/>
        </w:rPr>
        <w:t>Расстройства мозгового кровообращения</w:t>
      </w:r>
    </w:p>
    <w:p w14:paraId="1F647645" w14:textId="77777777" w:rsidR="00E2203E" w:rsidRPr="00833B5D" w:rsidRDefault="00E2203E" w:rsidP="00E2203E">
      <w:pPr>
        <w:jc w:val="both"/>
      </w:pPr>
      <w:r w:rsidRPr="00833B5D">
        <w:t>Поддерживающее лечение при симптомах цереброваскулярного происхождения, включающих нарушение памяти и функции мышления, снижение концентрации внимания, нарушение настроения (раздражительность).</w:t>
      </w:r>
    </w:p>
    <w:p w14:paraId="6C19EB03" w14:textId="77777777" w:rsidR="00E2203E" w:rsidRPr="00833B5D" w:rsidRDefault="00E2203E" w:rsidP="00E2203E">
      <w:pPr>
        <w:jc w:val="both"/>
        <w:rPr>
          <w:i/>
        </w:rPr>
      </w:pPr>
      <w:r w:rsidRPr="00833B5D">
        <w:rPr>
          <w:i/>
        </w:rPr>
        <w:t>Нарушение равновесия</w:t>
      </w:r>
    </w:p>
    <w:p w14:paraId="3959C9E7" w14:textId="77777777" w:rsidR="00E2203E" w:rsidRPr="00833B5D" w:rsidRDefault="00E2203E" w:rsidP="00E2203E">
      <w:pPr>
        <w:jc w:val="both"/>
      </w:pPr>
      <w:r w:rsidRPr="00833B5D">
        <w:t>Поддерживающее лечение при симптомах лабиринтных расстройств, включающих головокружение, шум в ушах, нистагм, тошноту, рвоту.</w:t>
      </w:r>
    </w:p>
    <w:p w14:paraId="44A3677A" w14:textId="77777777" w:rsidR="00E2203E" w:rsidRPr="00833B5D" w:rsidRDefault="00E2203E" w:rsidP="00E2203E">
      <w:pPr>
        <w:jc w:val="both"/>
        <w:rPr>
          <w:i/>
        </w:rPr>
      </w:pPr>
      <w:r w:rsidRPr="00833B5D">
        <w:rPr>
          <w:i/>
        </w:rPr>
        <w:t>Болезни движения</w:t>
      </w:r>
    </w:p>
    <w:p w14:paraId="4BC594E0" w14:textId="77777777" w:rsidR="00E2203E" w:rsidRPr="00833B5D" w:rsidRDefault="00E2203E" w:rsidP="00E2203E">
      <w:pPr>
        <w:jc w:val="both"/>
      </w:pPr>
      <w:r w:rsidRPr="00833B5D">
        <w:t>Профилактика заболеваний движения.</w:t>
      </w:r>
    </w:p>
    <w:p w14:paraId="75ED423E" w14:textId="77777777" w:rsidR="002D7B4F" w:rsidRPr="00833B5D" w:rsidRDefault="002D7B4F" w:rsidP="002D7B4F">
      <w:pPr>
        <w:rPr>
          <w:lang w:val="uk-UA"/>
        </w:rPr>
      </w:pPr>
    </w:p>
    <w:p w14:paraId="2A1341CE" w14:textId="77777777" w:rsidR="002D7B4F" w:rsidRPr="00833B5D" w:rsidRDefault="0091728E" w:rsidP="002D7B4F">
      <w:pPr>
        <w:rPr>
          <w:b/>
          <w:i/>
        </w:rPr>
      </w:pPr>
      <w:r w:rsidRPr="00833B5D">
        <w:rPr>
          <w:b/>
          <w:i/>
        </w:rPr>
        <w:t>Противопоказания.</w:t>
      </w:r>
    </w:p>
    <w:p w14:paraId="3FD04A49" w14:textId="48C90A69" w:rsidR="00E2203E" w:rsidRPr="00833B5D" w:rsidRDefault="00E2203E" w:rsidP="00E2203E">
      <w:pPr>
        <w:jc w:val="both"/>
      </w:pPr>
      <w:r w:rsidRPr="00833B5D">
        <w:t xml:space="preserve">Повышенная чувствительность к </w:t>
      </w:r>
      <w:proofErr w:type="spellStart"/>
      <w:r w:rsidRPr="00833B5D">
        <w:t>пирацетаму</w:t>
      </w:r>
      <w:proofErr w:type="spellEnd"/>
      <w:r w:rsidRPr="00833B5D">
        <w:t xml:space="preserve">, </w:t>
      </w:r>
      <w:r w:rsidR="00187BCB">
        <w:t>циннаризин</w:t>
      </w:r>
      <w:r w:rsidRPr="00833B5D">
        <w:t xml:space="preserve">у или любому вспомогательному компоненту лекарственного средства; индивидуальная чувствительность к производным </w:t>
      </w:r>
      <w:proofErr w:type="spellStart"/>
      <w:r w:rsidRPr="00833B5D">
        <w:t>пиролидона</w:t>
      </w:r>
      <w:proofErr w:type="spellEnd"/>
      <w:r w:rsidRPr="00833B5D">
        <w:t xml:space="preserve">. </w:t>
      </w:r>
    </w:p>
    <w:p w14:paraId="34BEB32E" w14:textId="77777777" w:rsidR="00E2203E" w:rsidRPr="00833B5D" w:rsidRDefault="00E2203E" w:rsidP="00E2203E">
      <w:pPr>
        <w:jc w:val="both"/>
      </w:pPr>
      <w:r w:rsidRPr="00833B5D">
        <w:t>Терминальная стадия почечной недостаточности, острое нарушение мозгового кровообращения (геморрагический инсульт), хорея Хантингтона, паркинсонизм, повышение внутриглазного давления, психомоторное возбуждение.</w:t>
      </w:r>
    </w:p>
    <w:p w14:paraId="12ECAB54" w14:textId="77777777" w:rsidR="00491C9E" w:rsidRPr="00833B5D" w:rsidRDefault="00491C9E" w:rsidP="002A1132">
      <w:pPr>
        <w:widowControl w:val="0"/>
        <w:snapToGrid w:val="0"/>
        <w:rPr>
          <w:b/>
          <w:i/>
          <w:lang w:val="uk-UA" w:eastAsia="uk-UA"/>
        </w:rPr>
      </w:pPr>
    </w:p>
    <w:p w14:paraId="1C757129" w14:textId="77777777" w:rsidR="002A1132" w:rsidRPr="00833B5D" w:rsidRDefault="002A1132" w:rsidP="002A1132">
      <w:pPr>
        <w:widowControl w:val="0"/>
        <w:snapToGrid w:val="0"/>
        <w:rPr>
          <w:b/>
          <w:i/>
        </w:rPr>
      </w:pPr>
      <w:r w:rsidRPr="00833B5D">
        <w:rPr>
          <w:b/>
          <w:i/>
        </w:rPr>
        <w:t>Взаимодействие с другими лекарственными средствами и другие виды взаимодействий.</w:t>
      </w:r>
    </w:p>
    <w:p w14:paraId="6082FBD9" w14:textId="77777777" w:rsidR="00E2203E" w:rsidRPr="00833B5D" w:rsidRDefault="00E2203E" w:rsidP="00E2203E">
      <w:pPr>
        <w:jc w:val="both"/>
        <w:rPr>
          <w:iCs/>
          <w:u w:val="single"/>
        </w:rPr>
      </w:pPr>
      <w:proofErr w:type="spellStart"/>
      <w:r w:rsidRPr="00833B5D">
        <w:rPr>
          <w:u w:val="single"/>
        </w:rPr>
        <w:t>Пирацетам</w:t>
      </w:r>
      <w:proofErr w:type="spellEnd"/>
      <w:r w:rsidRPr="00833B5D">
        <w:rPr>
          <w:u w:val="single"/>
        </w:rPr>
        <w:t>.</w:t>
      </w:r>
    </w:p>
    <w:p w14:paraId="1C049863" w14:textId="77777777" w:rsidR="00E2203E" w:rsidRPr="00833B5D" w:rsidRDefault="00E2203E" w:rsidP="00E2203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</w:rPr>
      </w:pPr>
      <w:r w:rsidRPr="00833B5D">
        <w:rPr>
          <w:i/>
        </w:rPr>
        <w:t>Тиреоидные гормоны.</w:t>
      </w:r>
    </w:p>
    <w:p w14:paraId="7756DEA9" w14:textId="77777777" w:rsidR="00E2203E" w:rsidRPr="00833B5D" w:rsidRDefault="00E2203E" w:rsidP="00E2203E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3B5D">
        <w:t>При одновременном применении с тиреоидными гормонами возможна повышенная раздражительность, дезориентация и нарушение сна.</w:t>
      </w:r>
    </w:p>
    <w:p w14:paraId="5AA8EB49" w14:textId="77777777" w:rsidR="00E2203E" w:rsidRPr="00833B5D" w:rsidRDefault="00E2203E" w:rsidP="00E2203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</w:rPr>
      </w:pPr>
      <w:proofErr w:type="spellStart"/>
      <w:r w:rsidRPr="00833B5D">
        <w:rPr>
          <w:i/>
        </w:rPr>
        <w:t>Аценокумарол</w:t>
      </w:r>
      <w:proofErr w:type="spellEnd"/>
      <w:r w:rsidRPr="00833B5D">
        <w:rPr>
          <w:i/>
        </w:rPr>
        <w:t xml:space="preserve">. </w:t>
      </w:r>
    </w:p>
    <w:p w14:paraId="1D572CF5" w14:textId="77777777" w:rsidR="00E2203E" w:rsidRPr="00833B5D" w:rsidRDefault="00E2203E" w:rsidP="00E2203E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3B5D">
        <w:t xml:space="preserve">Клинические исследования показали, что у больных с тяжелым течением рецидивирующего тромбоза применение </w:t>
      </w:r>
      <w:proofErr w:type="spellStart"/>
      <w:r w:rsidRPr="00833B5D">
        <w:t>пирацетама</w:t>
      </w:r>
      <w:proofErr w:type="spellEnd"/>
      <w:r w:rsidRPr="00833B5D">
        <w:t xml:space="preserve"> в высоких дозах (9,6 г/</w:t>
      </w:r>
      <w:proofErr w:type="spellStart"/>
      <w:r w:rsidRPr="00833B5D">
        <w:t>сут</w:t>
      </w:r>
      <w:proofErr w:type="spellEnd"/>
      <w:r w:rsidRPr="00833B5D">
        <w:t xml:space="preserve">) не влияло на дозировку </w:t>
      </w:r>
      <w:proofErr w:type="spellStart"/>
      <w:r w:rsidRPr="00833B5D">
        <w:t>аценокумарола</w:t>
      </w:r>
      <w:proofErr w:type="spellEnd"/>
      <w:r w:rsidRPr="00833B5D">
        <w:t xml:space="preserve"> для достижения значения </w:t>
      </w:r>
      <w:proofErr w:type="spellStart"/>
      <w:r w:rsidRPr="00833B5D">
        <w:t>протромбинового</w:t>
      </w:r>
      <w:proofErr w:type="spellEnd"/>
      <w:r w:rsidRPr="00833B5D">
        <w:t xml:space="preserve"> времени (МНО-международное нормализованное отношение) 2,5-3,5, но при его одновременном применении наблюдалось значительное снижение уровня агрегации тромбоцитов, уровня фибриногена, факторов </w:t>
      </w:r>
      <w:proofErr w:type="spellStart"/>
      <w:r w:rsidRPr="00833B5D">
        <w:t>Виллебранда</w:t>
      </w:r>
      <w:proofErr w:type="spellEnd"/>
      <w:r w:rsidRPr="00833B5D">
        <w:t xml:space="preserve"> (VIII: C; VIII: </w:t>
      </w:r>
      <w:proofErr w:type="spellStart"/>
      <w:r w:rsidRPr="00833B5D">
        <w:t>vW</w:t>
      </w:r>
      <w:proofErr w:type="spellEnd"/>
      <w:r w:rsidRPr="00833B5D">
        <w:t xml:space="preserve">: Ag; VIII: </w:t>
      </w:r>
      <w:proofErr w:type="spellStart"/>
      <w:r w:rsidRPr="00833B5D">
        <w:t>vW</w:t>
      </w:r>
      <w:proofErr w:type="spellEnd"/>
      <w:r w:rsidRPr="00833B5D">
        <w:t xml:space="preserve">: </w:t>
      </w:r>
      <w:proofErr w:type="spellStart"/>
      <w:r w:rsidRPr="00833B5D">
        <w:t>R</w:t>
      </w:r>
      <w:r w:rsidRPr="00833B5D">
        <w:rPr>
          <w:vertAlign w:val="subscript"/>
        </w:rPr>
        <w:t>co</w:t>
      </w:r>
      <w:proofErr w:type="spellEnd"/>
      <w:r w:rsidRPr="00833B5D">
        <w:t xml:space="preserve">), вязкости крови и плазмы крови. </w:t>
      </w:r>
    </w:p>
    <w:p w14:paraId="346479E3" w14:textId="77777777" w:rsidR="00E2203E" w:rsidRPr="00833B5D" w:rsidRDefault="00E2203E" w:rsidP="00E2203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</w:rPr>
      </w:pPr>
      <w:r w:rsidRPr="00833B5D">
        <w:rPr>
          <w:i/>
        </w:rPr>
        <w:t>Фармакокинетические взаимодействия.</w:t>
      </w:r>
    </w:p>
    <w:p w14:paraId="0DA4CCDD" w14:textId="77777777" w:rsidR="00E2203E" w:rsidRPr="00833B5D" w:rsidRDefault="00E2203E" w:rsidP="00E2203E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3B5D">
        <w:t xml:space="preserve">Вероятность изменения </w:t>
      </w:r>
      <w:proofErr w:type="spellStart"/>
      <w:r w:rsidRPr="00833B5D">
        <w:t>фармакодинамики</w:t>
      </w:r>
      <w:proofErr w:type="spellEnd"/>
      <w:r w:rsidRPr="00833B5D">
        <w:t xml:space="preserve"> </w:t>
      </w:r>
      <w:proofErr w:type="spellStart"/>
      <w:r w:rsidRPr="00833B5D">
        <w:t>пирацетама</w:t>
      </w:r>
      <w:proofErr w:type="spellEnd"/>
      <w:r w:rsidRPr="00833B5D">
        <w:t xml:space="preserve"> под действием других лекарственных средств низка, поскольку 90% выводится в неизменном виде с мочой.</w:t>
      </w:r>
    </w:p>
    <w:p w14:paraId="0653F422" w14:textId="77777777" w:rsidR="00E2203E" w:rsidRPr="00833B5D" w:rsidRDefault="00E2203E" w:rsidP="00E2203E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3B5D">
        <w:rPr>
          <w:i/>
        </w:rPr>
        <w:t xml:space="preserve">In </w:t>
      </w:r>
      <w:proofErr w:type="spellStart"/>
      <w:r w:rsidRPr="00833B5D">
        <w:rPr>
          <w:i/>
        </w:rPr>
        <w:t>vitro</w:t>
      </w:r>
      <w:proofErr w:type="spellEnd"/>
      <w:r w:rsidRPr="00833B5D">
        <w:t xml:space="preserve"> </w:t>
      </w:r>
      <w:proofErr w:type="spellStart"/>
      <w:r w:rsidRPr="00833B5D">
        <w:t>пирацетам</w:t>
      </w:r>
      <w:proofErr w:type="spellEnd"/>
      <w:r w:rsidRPr="00833B5D">
        <w:t xml:space="preserve"> не угнетает цитохром Р450 изоформы CYP1A2, 2В6, 2С8, 2С9, 2С19, 2D6, 2Е1 и 4А9/11 в концентрации 142, 426, 1422 мкг/мл. </w:t>
      </w:r>
    </w:p>
    <w:p w14:paraId="5DC97884" w14:textId="77777777" w:rsidR="00E2203E" w:rsidRPr="00833B5D" w:rsidRDefault="00E2203E" w:rsidP="00E2203E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3B5D">
        <w:t xml:space="preserve">При концентрации 1422 мкг/мл отмечено небольшое угнетение CYP2A6 (21 %) и ЗА4/5 (11 %). Однако уровень </w:t>
      </w:r>
      <w:proofErr w:type="spellStart"/>
      <w:r w:rsidRPr="00833B5D">
        <w:t>К</w:t>
      </w:r>
      <w:r w:rsidRPr="00833B5D">
        <w:rPr>
          <w:vertAlign w:val="subscript"/>
        </w:rPr>
        <w:t>і</w:t>
      </w:r>
      <w:proofErr w:type="spellEnd"/>
      <w:r w:rsidRPr="00833B5D">
        <w:t xml:space="preserve"> этих двух CYP-изомеров достаточный при превышении 1422 мкг/мл. Поэтому метаболическое взаимодействие с лекарственными средствами, подвергающимися </w:t>
      </w:r>
      <w:proofErr w:type="spellStart"/>
      <w:r w:rsidRPr="00833B5D">
        <w:t>биотрансформации</w:t>
      </w:r>
      <w:proofErr w:type="spellEnd"/>
      <w:r w:rsidRPr="00833B5D">
        <w:t xml:space="preserve"> этими ферментами, мало вероятно.</w:t>
      </w:r>
    </w:p>
    <w:p w14:paraId="15215AB0" w14:textId="77777777" w:rsidR="00E2203E" w:rsidRPr="00833B5D" w:rsidRDefault="00E2203E" w:rsidP="00E2203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</w:rPr>
      </w:pPr>
      <w:r w:rsidRPr="00833B5D">
        <w:rPr>
          <w:i/>
        </w:rPr>
        <w:t>Противоэпилептические лекарственные средства.</w:t>
      </w:r>
    </w:p>
    <w:p w14:paraId="3BA0D9A5" w14:textId="77777777" w:rsidR="00E2203E" w:rsidRPr="00833B5D" w:rsidRDefault="00E2203E" w:rsidP="00E2203E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3B5D">
        <w:t xml:space="preserve">Применение </w:t>
      </w:r>
      <w:proofErr w:type="spellStart"/>
      <w:r w:rsidRPr="00833B5D">
        <w:t>пирацетама</w:t>
      </w:r>
      <w:proofErr w:type="spellEnd"/>
      <w:r w:rsidRPr="00833B5D">
        <w:t xml:space="preserve"> в дозе 20 мг/</w:t>
      </w:r>
      <w:proofErr w:type="spellStart"/>
      <w:r w:rsidRPr="00833B5D">
        <w:t>сут</w:t>
      </w:r>
      <w:proofErr w:type="spellEnd"/>
      <w:r w:rsidRPr="00833B5D">
        <w:t xml:space="preserve"> в течение 4 нед</w:t>
      </w:r>
      <w:r w:rsidR="00833B5D">
        <w:t>ель</w:t>
      </w:r>
      <w:r w:rsidRPr="00833B5D">
        <w:t xml:space="preserve"> и более не изменяло кривую уровня концентрации и максимальную концентрацию (</w:t>
      </w:r>
      <w:proofErr w:type="spellStart"/>
      <w:r w:rsidRPr="00833B5D">
        <w:t>С</w:t>
      </w:r>
      <w:r w:rsidRPr="00833B5D">
        <w:rPr>
          <w:vertAlign w:val="subscript"/>
        </w:rPr>
        <w:t>max</w:t>
      </w:r>
      <w:proofErr w:type="spellEnd"/>
      <w:r w:rsidRPr="00833B5D">
        <w:t>) противоэпилептических препаратов в сыворотке крови (</w:t>
      </w:r>
      <w:proofErr w:type="spellStart"/>
      <w:r w:rsidRPr="00833B5D">
        <w:t>карбамазепин</w:t>
      </w:r>
      <w:proofErr w:type="spellEnd"/>
      <w:r w:rsidRPr="00833B5D">
        <w:t xml:space="preserve">, фенитоин, фенобарбитал, натрия </w:t>
      </w:r>
      <w:proofErr w:type="spellStart"/>
      <w:r w:rsidRPr="00833B5D">
        <w:t>вальпроат</w:t>
      </w:r>
      <w:proofErr w:type="spellEnd"/>
      <w:r w:rsidRPr="00833B5D">
        <w:t xml:space="preserve">) у больных эпилепсией. </w:t>
      </w:r>
    </w:p>
    <w:p w14:paraId="24CA6243" w14:textId="77777777" w:rsidR="00E2203E" w:rsidRPr="00833B5D" w:rsidRDefault="00E2203E" w:rsidP="00E2203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</w:rPr>
      </w:pPr>
      <w:r w:rsidRPr="00833B5D">
        <w:rPr>
          <w:i/>
        </w:rPr>
        <w:t>Алкоголь.</w:t>
      </w:r>
    </w:p>
    <w:p w14:paraId="03287D95" w14:textId="77777777" w:rsidR="00E2203E" w:rsidRPr="00833B5D" w:rsidRDefault="00E2203E" w:rsidP="00E2203E">
      <w:pPr>
        <w:widowControl w:val="0"/>
        <w:autoSpaceDE w:val="0"/>
        <w:autoSpaceDN w:val="0"/>
        <w:adjustRightInd w:val="0"/>
        <w:ind w:right="57"/>
        <w:jc w:val="both"/>
      </w:pPr>
      <w:r w:rsidRPr="00833B5D">
        <w:t xml:space="preserve">Совместимый прием с алкоголем не влиял на уровень концентрации </w:t>
      </w:r>
      <w:proofErr w:type="spellStart"/>
      <w:r w:rsidRPr="00833B5D">
        <w:t>пирацетама</w:t>
      </w:r>
      <w:proofErr w:type="spellEnd"/>
      <w:r w:rsidRPr="00833B5D">
        <w:t xml:space="preserve"> в сыворотке крови и концентрация алкоголя в сыворотке крови не изменялась при употреблении 1,6 г </w:t>
      </w:r>
      <w:proofErr w:type="spellStart"/>
      <w:r w:rsidRPr="00833B5D">
        <w:t>пирацетама</w:t>
      </w:r>
      <w:proofErr w:type="spellEnd"/>
      <w:r w:rsidRPr="00833B5D">
        <w:t>.</w:t>
      </w:r>
    </w:p>
    <w:p w14:paraId="43667D6B" w14:textId="77777777" w:rsidR="00F926A1" w:rsidRPr="00833B5D" w:rsidRDefault="00F926A1" w:rsidP="00E2203E">
      <w:pPr>
        <w:jc w:val="both"/>
        <w:rPr>
          <w:u w:val="single"/>
        </w:rPr>
      </w:pPr>
      <w:r w:rsidRPr="00833B5D">
        <w:t>Сосудорасширяющие препараты усиливают действие лекарственного средства.</w:t>
      </w:r>
    </w:p>
    <w:p w14:paraId="4DE645DE" w14:textId="77777777" w:rsidR="00E2203E" w:rsidRPr="00833B5D" w:rsidRDefault="00E2203E" w:rsidP="00E2203E">
      <w:pPr>
        <w:jc w:val="both"/>
        <w:rPr>
          <w:u w:val="single"/>
        </w:rPr>
      </w:pPr>
      <w:r w:rsidRPr="00833B5D">
        <w:rPr>
          <w:u w:val="single"/>
        </w:rPr>
        <w:t>Циннаризин.</w:t>
      </w:r>
    </w:p>
    <w:p w14:paraId="161337E2" w14:textId="77777777" w:rsidR="00F926A1" w:rsidRPr="00833B5D" w:rsidRDefault="00F926A1" w:rsidP="00F926A1">
      <w:pPr>
        <w:widowControl w:val="0"/>
        <w:autoSpaceDE w:val="0"/>
        <w:autoSpaceDN w:val="0"/>
        <w:adjustRightInd w:val="0"/>
        <w:ind w:right="-2"/>
        <w:jc w:val="both"/>
      </w:pPr>
      <w:r w:rsidRPr="00833B5D">
        <w:t>При одновременном применении лекарственных средств, ингибирующих ЦНС, трициклических антидепрессантов и этанола может усиливаться их седативное действие.</w:t>
      </w:r>
    </w:p>
    <w:p w14:paraId="7A539198" w14:textId="77777777" w:rsidR="00E2203E" w:rsidRPr="00833B5D" w:rsidRDefault="00E2203E" w:rsidP="00E2203E">
      <w:pPr>
        <w:jc w:val="both"/>
        <w:rPr>
          <w:i/>
        </w:rPr>
      </w:pPr>
      <w:r w:rsidRPr="00833B5D">
        <w:rPr>
          <w:i/>
        </w:rPr>
        <w:t>Диагностические процедуры.</w:t>
      </w:r>
    </w:p>
    <w:p w14:paraId="730572C5" w14:textId="3C661F47" w:rsidR="00E2203E" w:rsidRPr="00833B5D" w:rsidRDefault="00E2203E" w:rsidP="00E2203E">
      <w:pPr>
        <w:pStyle w:val="2"/>
        <w:rPr>
          <w:b w:val="0"/>
          <w:i w:val="0"/>
        </w:rPr>
      </w:pPr>
      <w:r w:rsidRPr="00833B5D">
        <w:rPr>
          <w:b w:val="0"/>
          <w:i w:val="0"/>
        </w:rPr>
        <w:t xml:space="preserve">Благодаря антигистаминному действию </w:t>
      </w:r>
      <w:r w:rsidR="00187BCB">
        <w:rPr>
          <w:b w:val="0"/>
          <w:i w:val="0"/>
        </w:rPr>
        <w:t>циннаризин</w:t>
      </w:r>
      <w:r w:rsidRPr="00833B5D">
        <w:rPr>
          <w:b w:val="0"/>
          <w:i w:val="0"/>
        </w:rPr>
        <w:t xml:space="preserve"> может маскировать положительные реакции к факторам кожной реактивности при проведении кожной пробы, поэтому применение лекарственного средства следует прекратить за 4 дня до его проведения.</w:t>
      </w:r>
    </w:p>
    <w:p w14:paraId="3310E7D4" w14:textId="77777777" w:rsidR="00491C9E" w:rsidRPr="00833B5D" w:rsidRDefault="00491C9E" w:rsidP="002A1132">
      <w:pPr>
        <w:widowControl w:val="0"/>
        <w:rPr>
          <w:b/>
          <w:i/>
          <w:lang w:val="uk-UA" w:eastAsia="uk-UA"/>
        </w:rPr>
      </w:pPr>
    </w:p>
    <w:p w14:paraId="2A9A7806" w14:textId="77777777" w:rsidR="002A1132" w:rsidRPr="00833B5D" w:rsidRDefault="002A1132" w:rsidP="002A1132">
      <w:pPr>
        <w:widowControl w:val="0"/>
        <w:rPr>
          <w:b/>
          <w:i/>
        </w:rPr>
      </w:pPr>
      <w:r w:rsidRPr="00833B5D">
        <w:rPr>
          <w:b/>
          <w:i/>
        </w:rPr>
        <w:t>Особенности применения.</w:t>
      </w:r>
    </w:p>
    <w:p w14:paraId="02FB4704" w14:textId="77777777" w:rsidR="00E2203E" w:rsidRPr="00833B5D" w:rsidRDefault="00E2203E" w:rsidP="00E2203E">
      <w:pPr>
        <w:jc w:val="both"/>
        <w:rPr>
          <w:bCs/>
          <w:iCs/>
        </w:rPr>
      </w:pPr>
      <w:r w:rsidRPr="00833B5D">
        <w:t>Нейро-Норм может вызвать раздражение желудка; применение его после еды может снизить явления раздражения желудка.</w:t>
      </w:r>
    </w:p>
    <w:p w14:paraId="7CE006D8" w14:textId="77777777" w:rsidR="00E2203E" w:rsidRPr="00833B5D" w:rsidRDefault="00E2203E" w:rsidP="00E2203E">
      <w:pPr>
        <w:jc w:val="both"/>
        <w:rPr>
          <w:bCs/>
          <w:iCs/>
        </w:rPr>
      </w:pPr>
      <w:r w:rsidRPr="00833B5D">
        <w:t>Следует воздерживаться от одновременного употребления алкоголя или антидепрессантов, поскольку препарат может вызывать сонливость, особенно в начале лечения.</w:t>
      </w:r>
    </w:p>
    <w:p w14:paraId="3973749F" w14:textId="77777777" w:rsidR="00E2203E" w:rsidRPr="00833B5D" w:rsidRDefault="00E2203E" w:rsidP="00E2203E">
      <w:pPr>
        <w:jc w:val="both"/>
        <w:rPr>
          <w:bCs/>
          <w:iCs/>
        </w:rPr>
      </w:pPr>
      <w:r w:rsidRPr="00833B5D">
        <w:t>Применение препарата следует избегать при порфирии.</w:t>
      </w:r>
    </w:p>
    <w:p w14:paraId="1D4DD4C0" w14:textId="77777777" w:rsidR="00E2203E" w:rsidRPr="00833B5D" w:rsidRDefault="00E2203E" w:rsidP="00E2203E">
      <w:pPr>
        <w:widowControl w:val="0"/>
        <w:autoSpaceDE w:val="0"/>
        <w:autoSpaceDN w:val="0"/>
        <w:adjustRightInd w:val="0"/>
        <w:jc w:val="both"/>
      </w:pPr>
      <w:r w:rsidRPr="00833B5D">
        <w:rPr>
          <w:i/>
        </w:rPr>
        <w:t xml:space="preserve">Относительно </w:t>
      </w:r>
      <w:proofErr w:type="spellStart"/>
      <w:r w:rsidRPr="00833B5D">
        <w:rPr>
          <w:i/>
        </w:rPr>
        <w:t>пирацетама</w:t>
      </w:r>
      <w:proofErr w:type="spellEnd"/>
      <w:r w:rsidRPr="00833B5D">
        <w:rPr>
          <w:i/>
        </w:rPr>
        <w:t>:</w:t>
      </w:r>
      <w:r w:rsidRPr="00833B5D">
        <w:t xml:space="preserve"> в связи с тем, что </w:t>
      </w:r>
      <w:proofErr w:type="spellStart"/>
      <w:r w:rsidRPr="00833B5D">
        <w:t>пирацетам</w:t>
      </w:r>
      <w:proofErr w:type="spellEnd"/>
      <w:r w:rsidRPr="00833B5D">
        <w:t xml:space="preserve"> снижает агрегацию тромбоцитов (см. раздел «Фармакодинамические свойства»), необходимо с осторожностью назначать лекарственное средство больным с нарушениями гемостаза, состояниями, которые могут сопровождаться кровоизлияниями (язва желудочно-кишечного тракта), во время больших хирургических операций (включая стоматологические вмешательства), больным с симптомами тяжелого кровотечения или больным, имеющим в анамнезе геморрагический инсульт; пациентам, которые применяют антикоагулянты, тромбоцитарные </w:t>
      </w:r>
      <w:proofErr w:type="spellStart"/>
      <w:r w:rsidRPr="00833B5D">
        <w:t>антиагреганты</w:t>
      </w:r>
      <w:proofErr w:type="spellEnd"/>
      <w:r w:rsidRPr="00833B5D">
        <w:t xml:space="preserve">, включая низкие дозы ацетилсалициловой кислоты. </w:t>
      </w:r>
    </w:p>
    <w:p w14:paraId="4DE78D2F" w14:textId="77777777" w:rsidR="00E2203E" w:rsidRPr="00833B5D" w:rsidRDefault="00574A85" w:rsidP="00E2203E">
      <w:pPr>
        <w:jc w:val="both"/>
        <w:rPr>
          <w:bCs/>
          <w:iCs/>
        </w:rPr>
      </w:pPr>
      <w:r w:rsidRPr="00833B5D">
        <w:t>Лекарственное средство выводится почками, поэтому необходимо особое внимание уделять больным с почечной недостаточностью. При длительной терапии у больных пожилого возраста рекомендуется регулярный контроль над показателями функции почек, при необходимости следует корректировать дозу в зависимости от результатов исследования клиренса креатинина.</w:t>
      </w:r>
    </w:p>
    <w:p w14:paraId="47203032" w14:textId="77777777" w:rsidR="00E2203E" w:rsidRPr="00833B5D" w:rsidRDefault="00574A85" w:rsidP="00E2203E">
      <w:pPr>
        <w:widowControl w:val="0"/>
        <w:autoSpaceDE w:val="0"/>
        <w:autoSpaceDN w:val="0"/>
        <w:adjustRightInd w:val="0"/>
        <w:jc w:val="both"/>
      </w:pPr>
      <w:r w:rsidRPr="00833B5D">
        <w:t>Лекарственное средство с осторожностью применять пациентам с печеночной недостаточностью.</w:t>
      </w:r>
    </w:p>
    <w:p w14:paraId="38E5CC20" w14:textId="60D13E15" w:rsidR="00E2203E" w:rsidRPr="00833B5D" w:rsidRDefault="00E2203E" w:rsidP="00E2203E">
      <w:pPr>
        <w:widowControl w:val="0"/>
        <w:autoSpaceDE w:val="0"/>
        <w:autoSpaceDN w:val="0"/>
        <w:adjustRightInd w:val="0"/>
        <w:jc w:val="both"/>
      </w:pPr>
      <w:r w:rsidRPr="00833B5D">
        <w:rPr>
          <w:i/>
        </w:rPr>
        <w:t xml:space="preserve">Относительно </w:t>
      </w:r>
      <w:r w:rsidR="00187BCB">
        <w:rPr>
          <w:i/>
        </w:rPr>
        <w:t>циннаризин</w:t>
      </w:r>
      <w:r w:rsidRPr="00833B5D">
        <w:rPr>
          <w:i/>
        </w:rPr>
        <w:t>а:</w:t>
      </w:r>
      <w:r w:rsidRPr="00833B5D">
        <w:t xml:space="preserve"> пациентам с болезнью Паркинсона следует назначать только в том случае, если преимущества лечения превышают возможный риск ухудшения течения этой болезни. </w:t>
      </w:r>
    </w:p>
    <w:p w14:paraId="62D4B8EC" w14:textId="77777777" w:rsidR="004F4211" w:rsidRPr="00833B5D" w:rsidRDefault="004F4211" w:rsidP="004F4211">
      <w:pPr>
        <w:jc w:val="both"/>
        <w:rPr>
          <w:i/>
        </w:rPr>
      </w:pPr>
      <w:r w:rsidRPr="00833B5D">
        <w:t>Важная информация о вспомогательных веществах.</w:t>
      </w:r>
    </w:p>
    <w:p w14:paraId="15C712A6" w14:textId="77777777" w:rsidR="00E2203E" w:rsidRPr="00833B5D" w:rsidRDefault="00B10132" w:rsidP="00E2203E">
      <w:pPr>
        <w:jc w:val="both"/>
        <w:rPr>
          <w:bCs/>
          <w:iCs/>
        </w:rPr>
      </w:pPr>
      <w:r w:rsidRPr="00833B5D">
        <w:t xml:space="preserve">Лекарственное средство содержит лактозу. Поэтому пациентам с редкими наследственными формами непереносимости галактозы, недостаточностью </w:t>
      </w:r>
      <w:proofErr w:type="spellStart"/>
      <w:r w:rsidRPr="00833B5D">
        <w:t>лактазы</w:t>
      </w:r>
      <w:proofErr w:type="spellEnd"/>
      <w:r w:rsidRPr="00833B5D">
        <w:t xml:space="preserve"> или синдромом </w:t>
      </w:r>
      <w:proofErr w:type="spellStart"/>
      <w:r w:rsidRPr="00833B5D">
        <w:t>глюкозо-галактозной</w:t>
      </w:r>
      <w:proofErr w:type="spellEnd"/>
      <w:r w:rsidRPr="00833B5D">
        <w:t xml:space="preserve"> </w:t>
      </w:r>
      <w:proofErr w:type="spellStart"/>
      <w:r w:rsidRPr="00833B5D">
        <w:t>мальабсорбции</w:t>
      </w:r>
      <w:proofErr w:type="spellEnd"/>
      <w:r w:rsidRPr="00833B5D">
        <w:t xml:space="preserve"> не следует применять данное лекарственное средство.</w:t>
      </w:r>
    </w:p>
    <w:p w14:paraId="112326C6" w14:textId="77777777" w:rsidR="00167E19" w:rsidRPr="00833B5D" w:rsidRDefault="00167E19" w:rsidP="00167E19">
      <w:pPr>
        <w:rPr>
          <w:lang w:val="uk-UA"/>
        </w:rPr>
      </w:pPr>
    </w:p>
    <w:p w14:paraId="0C9343D0" w14:textId="77777777" w:rsidR="00167E19" w:rsidRPr="00833B5D" w:rsidRDefault="00167E19" w:rsidP="00167E19">
      <w:pPr>
        <w:rPr>
          <w:i/>
        </w:rPr>
      </w:pPr>
      <w:r w:rsidRPr="00833B5D">
        <w:rPr>
          <w:i/>
        </w:rPr>
        <w:t>Применение в период беременности и кормления грудью.</w:t>
      </w:r>
    </w:p>
    <w:p w14:paraId="089D39CA" w14:textId="77777777" w:rsidR="00E2203E" w:rsidRPr="00833B5D" w:rsidRDefault="00E2203E" w:rsidP="00E2203E">
      <w:pPr>
        <w:jc w:val="both"/>
      </w:pPr>
      <w:r w:rsidRPr="00833B5D">
        <w:t>Не применять лекарственное средство в период беременности или кормления грудью.</w:t>
      </w:r>
    </w:p>
    <w:p w14:paraId="12BEA8D7" w14:textId="77777777" w:rsidR="00A55FD1" w:rsidRPr="00833B5D" w:rsidRDefault="00A55FD1" w:rsidP="00A55FD1">
      <w:pPr>
        <w:widowControl w:val="0"/>
        <w:autoSpaceDE w:val="0"/>
        <w:autoSpaceDN w:val="0"/>
        <w:adjustRightInd w:val="0"/>
        <w:jc w:val="both"/>
      </w:pPr>
      <w:bookmarkStart w:id="3" w:name="_Hlk9868449"/>
      <w:r w:rsidRPr="00833B5D">
        <w:t>При необходимости лечение следует прекратить кормление грудью.</w:t>
      </w:r>
    </w:p>
    <w:bookmarkEnd w:id="3"/>
    <w:p w14:paraId="37600B42" w14:textId="77777777" w:rsidR="00A55FD1" w:rsidRPr="00833B5D" w:rsidRDefault="00A55FD1" w:rsidP="002D7B4F">
      <w:pPr>
        <w:widowControl w:val="0"/>
        <w:rPr>
          <w:b/>
          <w:i/>
          <w:lang w:val="uk-UA"/>
        </w:rPr>
      </w:pPr>
    </w:p>
    <w:p w14:paraId="7A9CC3EE" w14:textId="77777777" w:rsidR="002F698D" w:rsidRPr="00833B5D" w:rsidRDefault="002F698D" w:rsidP="002F698D">
      <w:pPr>
        <w:jc w:val="both"/>
        <w:rPr>
          <w:i/>
        </w:rPr>
      </w:pPr>
      <w:r w:rsidRPr="00833B5D">
        <w:rPr>
          <w:i/>
        </w:rPr>
        <w:t>Способность влиять на скорость реакции при управлении автотранспортом или работе с другими механизмами.</w:t>
      </w:r>
    </w:p>
    <w:p w14:paraId="6B15834F" w14:textId="77777777" w:rsidR="00E2203E" w:rsidRPr="00833B5D" w:rsidRDefault="00E2203E" w:rsidP="00E2203E">
      <w:pPr>
        <w:pStyle w:val="2"/>
        <w:rPr>
          <w:b w:val="0"/>
          <w:bCs/>
          <w:i w:val="0"/>
          <w:iCs/>
        </w:rPr>
      </w:pPr>
      <w:r w:rsidRPr="00833B5D">
        <w:rPr>
          <w:b w:val="0"/>
          <w:bCs/>
          <w:i w:val="0"/>
          <w:iCs/>
        </w:rPr>
        <w:t>Учитывая возможность возникновения побочных реакций со стороны центральной нервной системы, следует соблюдать осторожность при управлении автотранспортом или работе с другими механизмами.</w:t>
      </w:r>
    </w:p>
    <w:p w14:paraId="335B65A9" w14:textId="77777777" w:rsidR="002F698D" w:rsidRPr="00833B5D" w:rsidRDefault="002F698D" w:rsidP="002D7B4F">
      <w:pPr>
        <w:widowControl w:val="0"/>
        <w:rPr>
          <w:b/>
          <w:i/>
          <w:lang w:val="uk-UA"/>
        </w:rPr>
      </w:pPr>
    </w:p>
    <w:p w14:paraId="5457D6E4" w14:textId="77777777" w:rsidR="002D7B4F" w:rsidRPr="00833B5D" w:rsidRDefault="002D7B4F" w:rsidP="002D7B4F">
      <w:pPr>
        <w:widowControl w:val="0"/>
        <w:rPr>
          <w:b/>
          <w:i/>
        </w:rPr>
      </w:pPr>
      <w:r w:rsidRPr="00833B5D">
        <w:rPr>
          <w:b/>
          <w:i/>
        </w:rPr>
        <w:t>Способ применения и дозы.</w:t>
      </w:r>
    </w:p>
    <w:p w14:paraId="48DBC224" w14:textId="77777777" w:rsidR="00E2203E" w:rsidRPr="00833B5D" w:rsidRDefault="00E2203E" w:rsidP="00E2203E">
      <w:pPr>
        <w:ind w:right="57"/>
        <w:jc w:val="both"/>
      </w:pPr>
      <w:r w:rsidRPr="00833B5D">
        <w:t>Капсулы Нейро-Норм принимать перорально после еды, не разжевывая, запивая водой.</w:t>
      </w:r>
    </w:p>
    <w:p w14:paraId="31B3CCB3" w14:textId="77777777" w:rsidR="00E2203E" w:rsidRPr="00833B5D" w:rsidRDefault="00E2203E" w:rsidP="00E2203E">
      <w:pPr>
        <w:ind w:right="57"/>
        <w:jc w:val="both"/>
      </w:pPr>
      <w:r w:rsidRPr="00833B5D">
        <w:rPr>
          <w:i/>
        </w:rPr>
        <w:t>Расстройства мозгового кровообращения:</w:t>
      </w:r>
      <w:r w:rsidRPr="00833B5D">
        <w:t xml:space="preserve"> по 1 капсуле 3 раза в день.</w:t>
      </w:r>
    </w:p>
    <w:p w14:paraId="59C0BEE6" w14:textId="77777777" w:rsidR="00E2203E" w:rsidRPr="00833B5D" w:rsidRDefault="00E2203E" w:rsidP="00E2203E">
      <w:pPr>
        <w:ind w:right="57"/>
        <w:jc w:val="both"/>
      </w:pPr>
      <w:r w:rsidRPr="00833B5D">
        <w:rPr>
          <w:i/>
        </w:rPr>
        <w:t>Нарушение равновесия:</w:t>
      </w:r>
      <w:r w:rsidRPr="00833B5D">
        <w:t xml:space="preserve"> по 1 капсуле 3 раза в день.</w:t>
      </w:r>
    </w:p>
    <w:p w14:paraId="52686F85" w14:textId="77777777" w:rsidR="00E2203E" w:rsidRPr="00833B5D" w:rsidRDefault="00E2203E" w:rsidP="00E2203E">
      <w:pPr>
        <w:ind w:right="57"/>
        <w:jc w:val="both"/>
      </w:pPr>
      <w:r w:rsidRPr="00833B5D">
        <w:rPr>
          <w:i/>
        </w:rPr>
        <w:t>Болезни движения:</w:t>
      </w:r>
      <w:r w:rsidRPr="00833B5D">
        <w:t xml:space="preserve"> по 1 капсуле за полчаса до прогулки с повторением каждые 6 часов.</w:t>
      </w:r>
    </w:p>
    <w:p w14:paraId="0B8B25B9" w14:textId="77777777" w:rsidR="00E2203E" w:rsidRPr="00833B5D" w:rsidRDefault="00E2203E" w:rsidP="00E2203E">
      <w:pPr>
        <w:ind w:right="57"/>
        <w:jc w:val="both"/>
        <w:rPr>
          <w:lang w:val="uk-UA"/>
        </w:rPr>
      </w:pPr>
    </w:p>
    <w:p w14:paraId="7432ECF7" w14:textId="77777777" w:rsidR="005D27E3" w:rsidRPr="00833B5D" w:rsidRDefault="005D27E3" w:rsidP="005D27E3">
      <w:r w:rsidRPr="00833B5D">
        <w:rPr>
          <w:i/>
        </w:rPr>
        <w:t>Дети.</w:t>
      </w:r>
    </w:p>
    <w:p w14:paraId="60B9B9DD" w14:textId="77777777" w:rsidR="00E2203E" w:rsidRPr="00833B5D" w:rsidRDefault="00E2203E" w:rsidP="00E2203E">
      <w:pPr>
        <w:jc w:val="both"/>
        <w:rPr>
          <w:bCs/>
          <w:iCs/>
          <w:color w:val="000000"/>
        </w:rPr>
      </w:pPr>
      <w:r w:rsidRPr="00833B5D">
        <w:rPr>
          <w:bCs/>
          <w:iCs/>
          <w:color w:val="000000"/>
        </w:rPr>
        <w:t>Не применять.</w:t>
      </w:r>
    </w:p>
    <w:p w14:paraId="501C301F" w14:textId="77777777" w:rsidR="005D27E3" w:rsidRPr="00833B5D" w:rsidRDefault="005D27E3" w:rsidP="005D27E3">
      <w:pPr>
        <w:rPr>
          <w:lang w:val="uk-UA"/>
        </w:rPr>
      </w:pPr>
    </w:p>
    <w:p w14:paraId="646EF11F" w14:textId="77777777" w:rsidR="005D27E3" w:rsidRPr="00833B5D" w:rsidRDefault="005D27E3" w:rsidP="005D27E3">
      <w:pPr>
        <w:rPr>
          <w:b/>
          <w:i/>
        </w:rPr>
      </w:pPr>
      <w:r w:rsidRPr="00833B5D">
        <w:rPr>
          <w:b/>
          <w:i/>
        </w:rPr>
        <w:t>Передозировка.</w:t>
      </w:r>
    </w:p>
    <w:p w14:paraId="0F2526A1" w14:textId="77777777" w:rsidR="00A55FD1" w:rsidRPr="00833B5D" w:rsidRDefault="00975050" w:rsidP="00A55FD1">
      <w:pPr>
        <w:widowControl w:val="0"/>
        <w:autoSpaceDE w:val="0"/>
        <w:autoSpaceDN w:val="0"/>
        <w:adjustRightInd w:val="0"/>
        <w:ind w:right="-2"/>
        <w:jc w:val="both"/>
      </w:pPr>
      <w:r w:rsidRPr="00833B5D">
        <w:rPr>
          <w:i/>
          <w:color w:val="000000"/>
        </w:rPr>
        <w:t xml:space="preserve">Симптомы. </w:t>
      </w:r>
      <w:r w:rsidRPr="00833B5D">
        <w:rPr>
          <w:color w:val="000000"/>
        </w:rPr>
        <w:t xml:space="preserve">Усиление проявлений побочного действия лекарственного средства. В редких случаях острой передозировки наблюдались </w:t>
      </w:r>
      <w:proofErr w:type="spellStart"/>
      <w:r w:rsidRPr="00833B5D">
        <w:rPr>
          <w:color w:val="000000"/>
        </w:rPr>
        <w:t>диспептические</w:t>
      </w:r>
      <w:proofErr w:type="spellEnd"/>
      <w:r w:rsidRPr="00833B5D">
        <w:rPr>
          <w:color w:val="000000"/>
        </w:rPr>
        <w:t xml:space="preserve"> явления (диарея с примесями крови, боль в животе), изменение сознания от сонливости к ступору и коме, рвота, экстрапирамидные симптомы, артериальная гипотензия. </w:t>
      </w:r>
      <w:bookmarkStart w:id="4" w:name="_Hlk9868468"/>
    </w:p>
    <w:bookmarkEnd w:id="4"/>
    <w:p w14:paraId="1F47A557" w14:textId="6761ED00" w:rsidR="00975050" w:rsidRPr="00833B5D" w:rsidRDefault="00975050" w:rsidP="00975050">
      <w:pPr>
        <w:ind w:right="-5"/>
        <w:jc w:val="both"/>
        <w:rPr>
          <w:color w:val="000000"/>
        </w:rPr>
      </w:pPr>
      <w:r w:rsidRPr="00833B5D">
        <w:rPr>
          <w:i/>
          <w:color w:val="000000"/>
        </w:rPr>
        <w:t xml:space="preserve">Лечение. </w:t>
      </w:r>
      <w:r w:rsidRPr="00833B5D">
        <w:rPr>
          <w:color w:val="000000"/>
        </w:rPr>
        <w:t xml:space="preserve">Специфического антидота нет. В течение первого часа после приема внутрь необходимо провести промывание желудка. Если это оправдано, то можно назначить активированный уголь. Проводить симптоматическую терапию. Применение гемодиализа эффективно (выводится </w:t>
      </w:r>
      <w:proofErr w:type="gramStart"/>
      <w:r w:rsidRPr="00833B5D">
        <w:rPr>
          <w:color w:val="000000"/>
        </w:rPr>
        <w:t>50-60</w:t>
      </w:r>
      <w:proofErr w:type="gramEnd"/>
      <w:r w:rsidRPr="00833B5D">
        <w:rPr>
          <w:color w:val="000000"/>
        </w:rPr>
        <w:t xml:space="preserve">% </w:t>
      </w:r>
      <w:proofErr w:type="spellStart"/>
      <w:r w:rsidRPr="00833B5D">
        <w:rPr>
          <w:color w:val="000000"/>
        </w:rPr>
        <w:t>пирацетама</w:t>
      </w:r>
      <w:proofErr w:type="spellEnd"/>
      <w:r w:rsidRPr="00833B5D">
        <w:rPr>
          <w:color w:val="000000"/>
        </w:rPr>
        <w:t xml:space="preserve"> и до 10% </w:t>
      </w:r>
      <w:r w:rsidR="00187BCB">
        <w:rPr>
          <w:color w:val="000000"/>
        </w:rPr>
        <w:t>циннаризин</w:t>
      </w:r>
      <w:r w:rsidRPr="00833B5D">
        <w:rPr>
          <w:color w:val="000000"/>
        </w:rPr>
        <w:t>а).</w:t>
      </w:r>
    </w:p>
    <w:p w14:paraId="1A9EAC96" w14:textId="77777777" w:rsidR="0029562B" w:rsidRPr="00833B5D" w:rsidRDefault="0029562B" w:rsidP="005D27E3">
      <w:pPr>
        <w:rPr>
          <w:lang w:val="uk-UA"/>
        </w:rPr>
      </w:pPr>
    </w:p>
    <w:p w14:paraId="544FAFE3" w14:textId="77777777" w:rsidR="002D7B4F" w:rsidRPr="00833B5D" w:rsidRDefault="005D27E3" w:rsidP="002D7B4F">
      <w:pPr>
        <w:rPr>
          <w:b/>
          <w:i/>
        </w:rPr>
      </w:pPr>
      <w:r w:rsidRPr="00833B5D">
        <w:rPr>
          <w:b/>
          <w:i/>
        </w:rPr>
        <w:t>Побочные реакции.</w:t>
      </w:r>
    </w:p>
    <w:p w14:paraId="101B768D" w14:textId="77777777" w:rsidR="000A4732" w:rsidRPr="00833B5D" w:rsidRDefault="000A4732" w:rsidP="007136BC">
      <w:pPr>
        <w:jc w:val="both"/>
        <w:rPr>
          <w:i/>
        </w:rPr>
      </w:pPr>
      <w:r w:rsidRPr="00833B5D">
        <w:rPr>
          <w:i/>
        </w:rPr>
        <w:t xml:space="preserve">Со стороны вестибулярного аппарата: </w:t>
      </w:r>
      <w:proofErr w:type="spellStart"/>
      <w:r w:rsidRPr="00833B5D">
        <w:t>вертиго</w:t>
      </w:r>
      <w:proofErr w:type="spellEnd"/>
      <w:r w:rsidRPr="00833B5D">
        <w:t>.</w:t>
      </w:r>
    </w:p>
    <w:p w14:paraId="089FC5F5" w14:textId="77777777" w:rsidR="00975050" w:rsidRPr="00833B5D" w:rsidRDefault="000A4732" w:rsidP="00975050">
      <w:pPr>
        <w:jc w:val="both"/>
        <w:rPr>
          <w:bCs/>
          <w:iCs/>
        </w:rPr>
      </w:pPr>
      <w:r w:rsidRPr="00833B5D">
        <w:rPr>
          <w:i/>
        </w:rPr>
        <w:t xml:space="preserve">Со стороны желудочно-кишечного тракта: </w:t>
      </w:r>
      <w:r w:rsidRPr="00833B5D">
        <w:t xml:space="preserve">ощущение сухости во рту, диспепсия, абдоминальная боль, боль в верхней части живота, дискомфорт в желудке, диарея, </w:t>
      </w:r>
      <w:proofErr w:type="spellStart"/>
      <w:r w:rsidRPr="00833B5D">
        <w:t>обтурационная</w:t>
      </w:r>
      <w:proofErr w:type="spellEnd"/>
      <w:r w:rsidRPr="00833B5D">
        <w:t xml:space="preserve"> желтуха, повышенное слюноотделение, тошнота, рвота. </w:t>
      </w:r>
    </w:p>
    <w:p w14:paraId="747A0D76" w14:textId="77777777" w:rsidR="00975050" w:rsidRPr="00833B5D" w:rsidRDefault="000A4732" w:rsidP="00975050">
      <w:pPr>
        <w:jc w:val="both"/>
        <w:rPr>
          <w:bCs/>
          <w:iCs/>
        </w:rPr>
      </w:pPr>
      <w:r w:rsidRPr="00833B5D">
        <w:t>Со стороны обмена веществ, метаболизма: при длительном курсе лечения в редких случаях может наблюдаться увеличение массы тела.</w:t>
      </w:r>
    </w:p>
    <w:p w14:paraId="09635052" w14:textId="77777777" w:rsidR="00975050" w:rsidRPr="00833B5D" w:rsidRDefault="000A4732" w:rsidP="00975050">
      <w:pPr>
        <w:jc w:val="both"/>
        <w:rPr>
          <w:bCs/>
          <w:iCs/>
        </w:rPr>
      </w:pPr>
      <w:r w:rsidRPr="00833B5D">
        <w:rPr>
          <w:i/>
        </w:rPr>
        <w:t xml:space="preserve">Со стороны нервной системы: </w:t>
      </w:r>
      <w:r w:rsidRPr="00833B5D">
        <w:t xml:space="preserve">повышенная возбудимость, смущение, нервозность, головокружение, спутанность сознания, головные боли, нарушения сна (например, бессонница, </w:t>
      </w:r>
      <w:proofErr w:type="spellStart"/>
      <w:r w:rsidRPr="00833B5D">
        <w:t>гиперсомния</w:t>
      </w:r>
      <w:proofErr w:type="spellEnd"/>
      <w:r w:rsidRPr="00833B5D">
        <w:t>, летаргия, сонливость),</w:t>
      </w:r>
      <w:r w:rsidR="00833B5D" w:rsidRPr="00833B5D">
        <w:t xml:space="preserve"> возможен риск ухудшения течения и увеличения частоты эпилепсии, вестибулярные расстройства, нарушения равновесия, </w:t>
      </w:r>
      <w:proofErr w:type="spellStart"/>
      <w:r w:rsidR="00833B5D" w:rsidRPr="00833B5D">
        <w:t>гиперкинезия</w:t>
      </w:r>
      <w:proofErr w:type="spellEnd"/>
      <w:r w:rsidR="00833B5D" w:rsidRPr="00833B5D">
        <w:t>, атаксия, тремор, дискинезия, паркинсонизм. Длительное применение больным пожилого возраста может привести к развитию экстрапирамидных явлений.</w:t>
      </w:r>
    </w:p>
    <w:p w14:paraId="420D155B" w14:textId="77777777" w:rsidR="000A4732" w:rsidRPr="00833B5D" w:rsidRDefault="000A4732" w:rsidP="000A4732">
      <w:pPr>
        <w:jc w:val="both"/>
        <w:rPr>
          <w:i/>
        </w:rPr>
      </w:pPr>
      <w:r w:rsidRPr="00833B5D">
        <w:rPr>
          <w:bCs/>
          <w:i/>
        </w:rPr>
        <w:t xml:space="preserve">Со стороны психики: </w:t>
      </w:r>
      <w:r w:rsidRPr="00833B5D">
        <w:t>депрессия, тревожность, галлюцинация.</w:t>
      </w:r>
    </w:p>
    <w:p w14:paraId="0AF92D69" w14:textId="77777777" w:rsidR="000A4732" w:rsidRPr="00833B5D" w:rsidRDefault="000A4732" w:rsidP="000A4732">
      <w:pPr>
        <w:jc w:val="both"/>
        <w:rPr>
          <w:i/>
        </w:rPr>
      </w:pPr>
      <w:r w:rsidRPr="00833B5D">
        <w:rPr>
          <w:i/>
        </w:rPr>
        <w:t xml:space="preserve">Со стороны сердечно-сосудистой системы: </w:t>
      </w:r>
      <w:r w:rsidRPr="00833B5D">
        <w:t>артериальная гипертензия; тромбофлебит.</w:t>
      </w:r>
    </w:p>
    <w:p w14:paraId="144FD776" w14:textId="77777777" w:rsidR="000A4732" w:rsidRPr="00833B5D" w:rsidRDefault="000A4732" w:rsidP="000A4732">
      <w:pPr>
        <w:jc w:val="both"/>
        <w:rPr>
          <w:i/>
        </w:rPr>
      </w:pPr>
      <w:r w:rsidRPr="00833B5D">
        <w:rPr>
          <w:i/>
        </w:rPr>
        <w:t xml:space="preserve">Со стороны крови: </w:t>
      </w:r>
      <w:r w:rsidRPr="00833B5D">
        <w:t>геморрагические расстройства.</w:t>
      </w:r>
    </w:p>
    <w:p w14:paraId="560973D3" w14:textId="77777777" w:rsidR="000A4732" w:rsidRPr="00833B5D" w:rsidRDefault="000A4732" w:rsidP="000A4732">
      <w:pPr>
        <w:jc w:val="both"/>
        <w:rPr>
          <w:i/>
        </w:rPr>
      </w:pPr>
      <w:r w:rsidRPr="00833B5D">
        <w:rPr>
          <w:i/>
        </w:rPr>
        <w:t xml:space="preserve">Со стороны иммунной системы. </w:t>
      </w:r>
      <w:r w:rsidRPr="00833B5D">
        <w:t>гиперчувствительность, в том числе анафилаксия, кожные реакции аллергического типа.</w:t>
      </w:r>
    </w:p>
    <w:p w14:paraId="43AD5B11" w14:textId="77777777" w:rsidR="00975050" w:rsidRPr="00833B5D" w:rsidRDefault="000A4732" w:rsidP="00975050">
      <w:pPr>
        <w:jc w:val="both"/>
        <w:rPr>
          <w:bCs/>
          <w:iCs/>
        </w:rPr>
      </w:pPr>
      <w:r w:rsidRPr="00833B5D">
        <w:rPr>
          <w:i/>
        </w:rPr>
        <w:t xml:space="preserve">Со стороны кожи и подкожной клетчатки: </w:t>
      </w:r>
      <w:r w:rsidRPr="00833B5D">
        <w:t xml:space="preserve">ангионевротический отек, дерматиты, зуд, сыпь, крапивница, фоточувствительность, гипергидроз (повышенная потливость), оставляет кератоз, подострая кожная красная волчанка и красный плоский лишай. </w:t>
      </w:r>
    </w:p>
    <w:p w14:paraId="6C8B66DA" w14:textId="77777777" w:rsidR="000A4732" w:rsidRPr="00833B5D" w:rsidRDefault="000A4732" w:rsidP="000A4732">
      <w:pPr>
        <w:jc w:val="both"/>
        <w:rPr>
          <w:i/>
        </w:rPr>
      </w:pPr>
      <w:r w:rsidRPr="00833B5D">
        <w:rPr>
          <w:i/>
        </w:rPr>
        <w:t xml:space="preserve">Со стороны опорно-двигательной системы: </w:t>
      </w:r>
      <w:r w:rsidRPr="00833B5D">
        <w:t>ригидность мышц.</w:t>
      </w:r>
    </w:p>
    <w:p w14:paraId="3AF5A491" w14:textId="77777777" w:rsidR="000A4732" w:rsidRPr="00833B5D" w:rsidRDefault="000A4732" w:rsidP="000A4732">
      <w:pPr>
        <w:jc w:val="both"/>
        <w:rPr>
          <w:i/>
        </w:rPr>
      </w:pPr>
      <w:r w:rsidRPr="00833B5D">
        <w:rPr>
          <w:i/>
        </w:rPr>
        <w:t xml:space="preserve">Общие расстройства: </w:t>
      </w:r>
      <w:r w:rsidRPr="00833B5D">
        <w:t>астения, утомляемость, гипертермия, повышение сексуальной активности.</w:t>
      </w:r>
    </w:p>
    <w:p w14:paraId="7CB733C0" w14:textId="77777777" w:rsidR="00A149E1" w:rsidRPr="00833B5D" w:rsidRDefault="00A149E1" w:rsidP="00CD553D">
      <w:pPr>
        <w:rPr>
          <w:bCs/>
          <w:i/>
          <w:iCs/>
          <w:u w:val="single"/>
          <w:lang w:val="uk-UA"/>
        </w:rPr>
      </w:pPr>
    </w:p>
    <w:p w14:paraId="1B494E3B" w14:textId="77777777" w:rsidR="00CD553D" w:rsidRPr="00833B5D" w:rsidRDefault="00CD553D" w:rsidP="00CD553D">
      <w:pPr>
        <w:jc w:val="both"/>
        <w:rPr>
          <w:i/>
          <w:iCs/>
        </w:rPr>
      </w:pPr>
      <w:r w:rsidRPr="00833B5D">
        <w:rPr>
          <w:bCs/>
          <w:i/>
          <w:iCs/>
          <w:u w:val="single"/>
        </w:rPr>
        <w:t>Сообщение о подозреваемых побочных реакциях.</w:t>
      </w:r>
    </w:p>
    <w:p w14:paraId="664ADC1D" w14:textId="77777777" w:rsidR="00CD553D" w:rsidRPr="00833B5D" w:rsidRDefault="00CD553D" w:rsidP="00CD553D">
      <w:pPr>
        <w:jc w:val="both"/>
        <w:rPr>
          <w:i/>
          <w:iCs/>
        </w:rPr>
      </w:pPr>
      <w:r w:rsidRPr="00833B5D">
        <w:t>Сообщения о подозреваемых побочных реакциях после регистрации лекарственного средства являются важной процедурой. Это позволяет продолжать мониторинг соотношения «польза/риск» для соответствующего лекарственного средства. Медицинским работникам необходимо сообщать о любых подозреваемых побочных реакциях через национальную систему сообщений.</w:t>
      </w:r>
    </w:p>
    <w:p w14:paraId="60EB2497" w14:textId="77777777" w:rsidR="00214AAD" w:rsidRPr="00833B5D" w:rsidRDefault="00214AAD" w:rsidP="002D7B4F">
      <w:pPr>
        <w:rPr>
          <w:lang w:val="uk-UA"/>
        </w:rPr>
      </w:pPr>
    </w:p>
    <w:p w14:paraId="37E7AFD0" w14:textId="77777777" w:rsidR="005D27E3" w:rsidRPr="00833B5D" w:rsidRDefault="005D27E3" w:rsidP="005D27E3">
      <w:r w:rsidRPr="00833B5D">
        <w:rPr>
          <w:b/>
          <w:i/>
        </w:rPr>
        <w:t xml:space="preserve">Срок годности. </w:t>
      </w:r>
      <w:r w:rsidRPr="00833B5D">
        <w:t>3 года.</w:t>
      </w:r>
    </w:p>
    <w:p w14:paraId="4E509B2C" w14:textId="77777777" w:rsidR="002D7B4F" w:rsidRPr="00833B5D" w:rsidRDefault="002D7B4F" w:rsidP="002D7B4F">
      <w:pPr>
        <w:rPr>
          <w:lang w:val="uk-UA"/>
        </w:rPr>
      </w:pPr>
    </w:p>
    <w:p w14:paraId="055DD44F" w14:textId="77777777" w:rsidR="005D27E3" w:rsidRPr="00833B5D" w:rsidRDefault="005D27E3" w:rsidP="005D27E3">
      <w:pPr>
        <w:jc w:val="both"/>
        <w:rPr>
          <w:b/>
        </w:rPr>
      </w:pPr>
      <w:r w:rsidRPr="00833B5D">
        <w:rPr>
          <w:b/>
        </w:rPr>
        <w:t>Условия хранения.</w:t>
      </w:r>
    </w:p>
    <w:p w14:paraId="7BA68EB2" w14:textId="77777777" w:rsidR="007136BC" w:rsidRPr="00833B5D" w:rsidRDefault="007136BC" w:rsidP="007136BC">
      <w:pPr>
        <w:jc w:val="both"/>
      </w:pPr>
      <w:r w:rsidRPr="00833B5D">
        <w:t xml:space="preserve">Хранить в оригинальной упаковке при температуре не выше 25°С. </w:t>
      </w:r>
    </w:p>
    <w:p w14:paraId="3FBD451D" w14:textId="77777777" w:rsidR="007136BC" w:rsidRPr="00833B5D" w:rsidRDefault="007136BC" w:rsidP="007136BC">
      <w:pPr>
        <w:jc w:val="both"/>
      </w:pPr>
      <w:r w:rsidRPr="00833B5D">
        <w:t>Хранить в недоступном для детей месте.</w:t>
      </w:r>
    </w:p>
    <w:p w14:paraId="5B114C84" w14:textId="77777777" w:rsidR="002D7B4F" w:rsidRPr="00833B5D" w:rsidRDefault="002D7B4F" w:rsidP="002D7B4F">
      <w:pPr>
        <w:rPr>
          <w:lang w:val="uk-UA"/>
        </w:rPr>
      </w:pPr>
    </w:p>
    <w:p w14:paraId="41B13BC5" w14:textId="77777777" w:rsidR="00C92FE6" w:rsidRPr="00833B5D" w:rsidRDefault="0091728E" w:rsidP="00B16656">
      <w:pPr>
        <w:jc w:val="both"/>
        <w:rPr>
          <w:b/>
        </w:rPr>
      </w:pPr>
      <w:r w:rsidRPr="00833B5D">
        <w:rPr>
          <w:b/>
        </w:rPr>
        <w:t>Упаковка.</w:t>
      </w:r>
    </w:p>
    <w:p w14:paraId="474EC9E9" w14:textId="77777777" w:rsidR="007136BC" w:rsidRPr="00833B5D" w:rsidRDefault="007136BC" w:rsidP="007136BC">
      <w:pPr>
        <w:rPr>
          <w:bCs/>
          <w:iCs/>
        </w:rPr>
      </w:pPr>
      <w:r w:rsidRPr="00833B5D">
        <w:t>По 10 капсул в контурной ячеистой упаковке; по 2 или 6 контурных ячеистых упаковок в пачке.</w:t>
      </w:r>
    </w:p>
    <w:p w14:paraId="34A4C537" w14:textId="77777777" w:rsidR="00B4003F" w:rsidRPr="00833B5D" w:rsidRDefault="00B4003F" w:rsidP="00B42046">
      <w:pPr>
        <w:jc w:val="both"/>
        <w:rPr>
          <w:lang w:val="uk-UA"/>
        </w:rPr>
      </w:pPr>
    </w:p>
    <w:p w14:paraId="302E9317" w14:textId="77777777" w:rsidR="002D7B4F" w:rsidRPr="00833B5D" w:rsidRDefault="002D7B4F" w:rsidP="002D7B4F">
      <w:r w:rsidRPr="00833B5D">
        <w:rPr>
          <w:b/>
        </w:rPr>
        <w:t xml:space="preserve">Категория отпуска. </w:t>
      </w:r>
      <w:r w:rsidRPr="00833B5D">
        <w:t>По рецепту.</w:t>
      </w:r>
    </w:p>
    <w:p w14:paraId="05CDB778" w14:textId="77777777" w:rsidR="002D7B4F" w:rsidRPr="00833B5D" w:rsidRDefault="002D7B4F" w:rsidP="002D7B4F">
      <w:pPr>
        <w:rPr>
          <w:lang w:val="uk-UA"/>
        </w:rPr>
      </w:pPr>
    </w:p>
    <w:p w14:paraId="40042F77" w14:textId="77777777" w:rsidR="00B16656" w:rsidRPr="00833B5D" w:rsidRDefault="00B16656" w:rsidP="00B16656">
      <w:pPr>
        <w:jc w:val="both"/>
        <w:rPr>
          <w:b/>
        </w:rPr>
      </w:pPr>
      <w:r w:rsidRPr="00833B5D">
        <w:rPr>
          <w:b/>
        </w:rPr>
        <w:t xml:space="preserve">Производитель </w:t>
      </w:r>
      <w:r w:rsidRPr="00833B5D">
        <w:t xml:space="preserve">ЗАО «Фармацевтическая </w:t>
      </w:r>
      <w:r w:rsidR="00833B5D" w:rsidRPr="00833B5D">
        <w:t>фирма «Дарница»</w:t>
      </w:r>
      <w:r w:rsidRPr="00833B5D">
        <w:t>.</w:t>
      </w:r>
    </w:p>
    <w:p w14:paraId="7B9DBCE5" w14:textId="77777777" w:rsidR="00B16656" w:rsidRPr="00833B5D" w:rsidRDefault="00B16656" w:rsidP="00B16656">
      <w:pPr>
        <w:jc w:val="both"/>
        <w:rPr>
          <w:b/>
          <w:lang w:val="uk-UA"/>
        </w:rPr>
      </w:pPr>
    </w:p>
    <w:p w14:paraId="6D64A722" w14:textId="77777777" w:rsidR="005D27E3" w:rsidRPr="00833B5D" w:rsidRDefault="005D27E3" w:rsidP="005D27E3">
      <w:pPr>
        <w:jc w:val="both"/>
        <w:rPr>
          <w:b/>
          <w:bCs/>
        </w:rPr>
      </w:pPr>
      <w:r w:rsidRPr="00833B5D">
        <w:rPr>
          <w:b/>
          <w:bCs/>
        </w:rPr>
        <w:t>Местонахождение производителя и адрес места осуществления его деятельности.</w:t>
      </w:r>
    </w:p>
    <w:p w14:paraId="496CACA0" w14:textId="77777777" w:rsidR="004B6256" w:rsidRPr="00833B5D" w:rsidRDefault="00B16656" w:rsidP="004B6256">
      <w:pPr>
        <w:jc w:val="both"/>
      </w:pPr>
      <w:r w:rsidRPr="00833B5D">
        <w:t>Украина, 02093, г. Киев, ул. Бориспольская, 13.</w:t>
      </w:r>
    </w:p>
    <w:p w14:paraId="692757E7" w14:textId="77777777" w:rsidR="004B6256" w:rsidRPr="00833B5D" w:rsidRDefault="004B6256" w:rsidP="004B6256">
      <w:pPr>
        <w:jc w:val="both"/>
        <w:rPr>
          <w:lang w:val="uk-UA"/>
        </w:rPr>
      </w:pPr>
    </w:p>
    <w:p w14:paraId="25643AB2" w14:textId="77777777" w:rsidR="00BC4634" w:rsidRPr="00833B5D" w:rsidRDefault="00B16656" w:rsidP="00A149E1">
      <w:pPr>
        <w:jc w:val="both"/>
        <w:rPr>
          <w:b/>
        </w:rPr>
      </w:pPr>
      <w:r w:rsidRPr="00833B5D">
        <w:rPr>
          <w:b/>
        </w:rPr>
        <w:t>Дата последнего посещения.</w:t>
      </w:r>
      <w:bookmarkEnd w:id="1"/>
      <w:bookmarkEnd w:id="2"/>
      <w:r w:rsidRPr="00833B5D">
        <w:rPr>
          <w:b/>
        </w:rPr>
        <w:t xml:space="preserve"> </w:t>
      </w:r>
      <w:r w:rsidRPr="00833B5D">
        <w:t>23.04.2020.</w:t>
      </w:r>
    </w:p>
    <w:sectPr w:rsidR="00BC4634" w:rsidRPr="00833B5D" w:rsidSect="0091485A">
      <w:footerReference w:type="default" r:id="rId11"/>
      <w:pgSz w:w="11909" w:h="16834"/>
      <w:pgMar w:top="993" w:right="851" w:bottom="851" w:left="1418" w:header="568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D90C1" w14:textId="77777777" w:rsidR="005C176D" w:rsidRDefault="005C176D" w:rsidP="005237BD">
      <w:r>
        <w:separator/>
      </w:r>
    </w:p>
  </w:endnote>
  <w:endnote w:type="continuationSeparator" w:id="0">
    <w:p w14:paraId="460F9385" w14:textId="77777777" w:rsidR="005C176D" w:rsidRDefault="005C176D" w:rsidP="00523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8F8EA" w14:textId="77777777" w:rsidR="005237BD" w:rsidRDefault="00226BA6" w:rsidP="00226BA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33B5D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862FD" w14:textId="77777777" w:rsidR="005C176D" w:rsidRDefault="005C176D" w:rsidP="005237BD">
      <w:r>
        <w:separator/>
      </w:r>
    </w:p>
  </w:footnote>
  <w:footnote w:type="continuationSeparator" w:id="0">
    <w:p w14:paraId="5C26D9E7" w14:textId="77777777" w:rsidR="005C176D" w:rsidRDefault="005C176D" w:rsidP="00523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3EAB"/>
    <w:multiLevelType w:val="hybridMultilevel"/>
    <w:tmpl w:val="FE3E1BA4"/>
    <w:lvl w:ilvl="0" w:tplc="0C3A7C68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52515EA"/>
    <w:multiLevelType w:val="hybridMultilevel"/>
    <w:tmpl w:val="D7880D04"/>
    <w:lvl w:ilvl="0" w:tplc="E75C72F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500DA"/>
    <w:multiLevelType w:val="hybridMultilevel"/>
    <w:tmpl w:val="9014C4EA"/>
    <w:lvl w:ilvl="0" w:tplc="E75C72F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60D65"/>
    <w:multiLevelType w:val="hybridMultilevel"/>
    <w:tmpl w:val="34949384"/>
    <w:lvl w:ilvl="0" w:tplc="5C9C202A">
      <w:start w:val="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1213AC"/>
    <w:multiLevelType w:val="singleLevel"/>
    <w:tmpl w:val="E1040FF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5519"/>
    <w:rsid w:val="0000760F"/>
    <w:rsid w:val="00013A33"/>
    <w:rsid w:val="00032933"/>
    <w:rsid w:val="00042D15"/>
    <w:rsid w:val="00044700"/>
    <w:rsid w:val="00055BE5"/>
    <w:rsid w:val="0005696A"/>
    <w:rsid w:val="0006641E"/>
    <w:rsid w:val="000812DE"/>
    <w:rsid w:val="000822AE"/>
    <w:rsid w:val="00082F39"/>
    <w:rsid w:val="000A4732"/>
    <w:rsid w:val="000B24D4"/>
    <w:rsid w:val="000B7AD2"/>
    <w:rsid w:val="000C126B"/>
    <w:rsid w:val="000C4D08"/>
    <w:rsid w:val="000F4149"/>
    <w:rsid w:val="00125B66"/>
    <w:rsid w:val="00125E3F"/>
    <w:rsid w:val="0013351E"/>
    <w:rsid w:val="0014028A"/>
    <w:rsid w:val="001403FC"/>
    <w:rsid w:val="00142F5B"/>
    <w:rsid w:val="00153D12"/>
    <w:rsid w:val="00153D18"/>
    <w:rsid w:val="00160F0E"/>
    <w:rsid w:val="00164EDA"/>
    <w:rsid w:val="00167E19"/>
    <w:rsid w:val="00185F2F"/>
    <w:rsid w:val="001876DC"/>
    <w:rsid w:val="00187BCB"/>
    <w:rsid w:val="001A24F4"/>
    <w:rsid w:val="001A5F26"/>
    <w:rsid w:val="001B526A"/>
    <w:rsid w:val="001C2692"/>
    <w:rsid w:val="001C2C3D"/>
    <w:rsid w:val="001C6861"/>
    <w:rsid w:val="001C695D"/>
    <w:rsid w:val="001D0B0D"/>
    <w:rsid w:val="001D218D"/>
    <w:rsid w:val="001D7699"/>
    <w:rsid w:val="001E4612"/>
    <w:rsid w:val="00214AAD"/>
    <w:rsid w:val="00222736"/>
    <w:rsid w:val="00226BA6"/>
    <w:rsid w:val="00242006"/>
    <w:rsid w:val="002460CB"/>
    <w:rsid w:val="00260082"/>
    <w:rsid w:val="002704CD"/>
    <w:rsid w:val="00275784"/>
    <w:rsid w:val="0028487E"/>
    <w:rsid w:val="00287287"/>
    <w:rsid w:val="00287977"/>
    <w:rsid w:val="002922D5"/>
    <w:rsid w:val="0029562B"/>
    <w:rsid w:val="00297251"/>
    <w:rsid w:val="002A1132"/>
    <w:rsid w:val="002A2BCC"/>
    <w:rsid w:val="002B0BF8"/>
    <w:rsid w:val="002D5599"/>
    <w:rsid w:val="002D7B4F"/>
    <w:rsid w:val="002E4A19"/>
    <w:rsid w:val="002F698D"/>
    <w:rsid w:val="003164FC"/>
    <w:rsid w:val="00320611"/>
    <w:rsid w:val="00323E6A"/>
    <w:rsid w:val="0032617A"/>
    <w:rsid w:val="00334050"/>
    <w:rsid w:val="00336E86"/>
    <w:rsid w:val="00340740"/>
    <w:rsid w:val="00342381"/>
    <w:rsid w:val="00347970"/>
    <w:rsid w:val="0036758E"/>
    <w:rsid w:val="00393ED5"/>
    <w:rsid w:val="003B5511"/>
    <w:rsid w:val="003B7CB9"/>
    <w:rsid w:val="003C2867"/>
    <w:rsid w:val="003E3486"/>
    <w:rsid w:val="004016D0"/>
    <w:rsid w:val="004136EF"/>
    <w:rsid w:val="00420142"/>
    <w:rsid w:val="004212EC"/>
    <w:rsid w:val="00425571"/>
    <w:rsid w:val="0042621D"/>
    <w:rsid w:val="00435B55"/>
    <w:rsid w:val="00441545"/>
    <w:rsid w:val="00443076"/>
    <w:rsid w:val="00443AF3"/>
    <w:rsid w:val="00451646"/>
    <w:rsid w:val="00491C9E"/>
    <w:rsid w:val="00495FAB"/>
    <w:rsid w:val="004A1AC9"/>
    <w:rsid w:val="004A6854"/>
    <w:rsid w:val="004B5A0A"/>
    <w:rsid w:val="004B6256"/>
    <w:rsid w:val="004C38D9"/>
    <w:rsid w:val="004D2127"/>
    <w:rsid w:val="004E2E43"/>
    <w:rsid w:val="004E7E50"/>
    <w:rsid w:val="004F1E93"/>
    <w:rsid w:val="004F4211"/>
    <w:rsid w:val="0050271E"/>
    <w:rsid w:val="005124AF"/>
    <w:rsid w:val="005237BD"/>
    <w:rsid w:val="00540758"/>
    <w:rsid w:val="00553C65"/>
    <w:rsid w:val="0056224D"/>
    <w:rsid w:val="00565D19"/>
    <w:rsid w:val="00574A85"/>
    <w:rsid w:val="00577867"/>
    <w:rsid w:val="00591CD4"/>
    <w:rsid w:val="00594A31"/>
    <w:rsid w:val="005A3DD4"/>
    <w:rsid w:val="005A549E"/>
    <w:rsid w:val="005B284C"/>
    <w:rsid w:val="005C176D"/>
    <w:rsid w:val="005C4CAF"/>
    <w:rsid w:val="005C52DB"/>
    <w:rsid w:val="005D1D0C"/>
    <w:rsid w:val="005D27E3"/>
    <w:rsid w:val="005E30C1"/>
    <w:rsid w:val="005E439D"/>
    <w:rsid w:val="005E43A6"/>
    <w:rsid w:val="005E45E7"/>
    <w:rsid w:val="005E5D66"/>
    <w:rsid w:val="0060523C"/>
    <w:rsid w:val="00607BBC"/>
    <w:rsid w:val="00611585"/>
    <w:rsid w:val="00611942"/>
    <w:rsid w:val="00625EF1"/>
    <w:rsid w:val="00626154"/>
    <w:rsid w:val="00630AFD"/>
    <w:rsid w:val="00631D5D"/>
    <w:rsid w:val="00644BF9"/>
    <w:rsid w:val="0064500E"/>
    <w:rsid w:val="00652D0F"/>
    <w:rsid w:val="006644EB"/>
    <w:rsid w:val="00680D4D"/>
    <w:rsid w:val="00690A2D"/>
    <w:rsid w:val="006C04B5"/>
    <w:rsid w:val="006C26BA"/>
    <w:rsid w:val="006C54BB"/>
    <w:rsid w:val="006E2534"/>
    <w:rsid w:val="006F06BC"/>
    <w:rsid w:val="006F725B"/>
    <w:rsid w:val="006F7BA2"/>
    <w:rsid w:val="00704A6B"/>
    <w:rsid w:val="00704E42"/>
    <w:rsid w:val="0071211E"/>
    <w:rsid w:val="007136BC"/>
    <w:rsid w:val="0071543C"/>
    <w:rsid w:val="0072099E"/>
    <w:rsid w:val="007257EE"/>
    <w:rsid w:val="00732CC4"/>
    <w:rsid w:val="00740747"/>
    <w:rsid w:val="00740C1D"/>
    <w:rsid w:val="00744506"/>
    <w:rsid w:val="00756AB3"/>
    <w:rsid w:val="00757123"/>
    <w:rsid w:val="00762697"/>
    <w:rsid w:val="0076673A"/>
    <w:rsid w:val="00781B6F"/>
    <w:rsid w:val="007B1638"/>
    <w:rsid w:val="007C2893"/>
    <w:rsid w:val="007C2B51"/>
    <w:rsid w:val="007E65F3"/>
    <w:rsid w:val="007F73E2"/>
    <w:rsid w:val="007F7B32"/>
    <w:rsid w:val="00801AAD"/>
    <w:rsid w:val="008106F2"/>
    <w:rsid w:val="00811592"/>
    <w:rsid w:val="00811FF8"/>
    <w:rsid w:val="00812D35"/>
    <w:rsid w:val="00815715"/>
    <w:rsid w:val="00831CBF"/>
    <w:rsid w:val="00833337"/>
    <w:rsid w:val="00833B5D"/>
    <w:rsid w:val="00836435"/>
    <w:rsid w:val="00837E20"/>
    <w:rsid w:val="0085791D"/>
    <w:rsid w:val="00862227"/>
    <w:rsid w:val="008925DF"/>
    <w:rsid w:val="008E0319"/>
    <w:rsid w:val="008E14C5"/>
    <w:rsid w:val="008F11B1"/>
    <w:rsid w:val="008F780C"/>
    <w:rsid w:val="0090152C"/>
    <w:rsid w:val="00912871"/>
    <w:rsid w:val="009143AF"/>
    <w:rsid w:val="0091485A"/>
    <w:rsid w:val="0091728E"/>
    <w:rsid w:val="00920FDB"/>
    <w:rsid w:val="00922558"/>
    <w:rsid w:val="00930448"/>
    <w:rsid w:val="00934A5D"/>
    <w:rsid w:val="0095487D"/>
    <w:rsid w:val="009646B6"/>
    <w:rsid w:val="00971A5B"/>
    <w:rsid w:val="00974C80"/>
    <w:rsid w:val="00975050"/>
    <w:rsid w:val="00984073"/>
    <w:rsid w:val="0098614F"/>
    <w:rsid w:val="009F1E59"/>
    <w:rsid w:val="00A01324"/>
    <w:rsid w:val="00A102F3"/>
    <w:rsid w:val="00A149E1"/>
    <w:rsid w:val="00A27F58"/>
    <w:rsid w:val="00A4062E"/>
    <w:rsid w:val="00A45E29"/>
    <w:rsid w:val="00A55F87"/>
    <w:rsid w:val="00A55FD1"/>
    <w:rsid w:val="00A607B1"/>
    <w:rsid w:val="00A66250"/>
    <w:rsid w:val="00A7264B"/>
    <w:rsid w:val="00A74A7A"/>
    <w:rsid w:val="00A7774C"/>
    <w:rsid w:val="00A87A16"/>
    <w:rsid w:val="00A92007"/>
    <w:rsid w:val="00A96A90"/>
    <w:rsid w:val="00AA0C77"/>
    <w:rsid w:val="00AA6ED8"/>
    <w:rsid w:val="00AB0C57"/>
    <w:rsid w:val="00AC73DF"/>
    <w:rsid w:val="00AD57E9"/>
    <w:rsid w:val="00AF4FF0"/>
    <w:rsid w:val="00AF61B8"/>
    <w:rsid w:val="00B029A2"/>
    <w:rsid w:val="00B0631E"/>
    <w:rsid w:val="00B10132"/>
    <w:rsid w:val="00B11795"/>
    <w:rsid w:val="00B16656"/>
    <w:rsid w:val="00B16DA3"/>
    <w:rsid w:val="00B25273"/>
    <w:rsid w:val="00B321DF"/>
    <w:rsid w:val="00B32B83"/>
    <w:rsid w:val="00B4003F"/>
    <w:rsid w:val="00B40DF8"/>
    <w:rsid w:val="00B42046"/>
    <w:rsid w:val="00B4773E"/>
    <w:rsid w:val="00B5352E"/>
    <w:rsid w:val="00B63D0D"/>
    <w:rsid w:val="00B816BC"/>
    <w:rsid w:val="00B83B19"/>
    <w:rsid w:val="00B871E6"/>
    <w:rsid w:val="00B973AA"/>
    <w:rsid w:val="00BB2422"/>
    <w:rsid w:val="00BC431C"/>
    <w:rsid w:val="00BC4634"/>
    <w:rsid w:val="00BD1FAD"/>
    <w:rsid w:val="00BE5403"/>
    <w:rsid w:val="00BF318F"/>
    <w:rsid w:val="00C22E53"/>
    <w:rsid w:val="00C522D6"/>
    <w:rsid w:val="00C64ABF"/>
    <w:rsid w:val="00C766E6"/>
    <w:rsid w:val="00C92FE6"/>
    <w:rsid w:val="00C94630"/>
    <w:rsid w:val="00CA3203"/>
    <w:rsid w:val="00CA7F1E"/>
    <w:rsid w:val="00CC3E8C"/>
    <w:rsid w:val="00CC421E"/>
    <w:rsid w:val="00CD4E43"/>
    <w:rsid w:val="00CD553D"/>
    <w:rsid w:val="00CD6721"/>
    <w:rsid w:val="00D01C55"/>
    <w:rsid w:val="00D060AB"/>
    <w:rsid w:val="00D061AE"/>
    <w:rsid w:val="00D120D4"/>
    <w:rsid w:val="00D20235"/>
    <w:rsid w:val="00D20E43"/>
    <w:rsid w:val="00D27539"/>
    <w:rsid w:val="00D51F89"/>
    <w:rsid w:val="00D55E26"/>
    <w:rsid w:val="00D71F22"/>
    <w:rsid w:val="00D800A6"/>
    <w:rsid w:val="00DA73FA"/>
    <w:rsid w:val="00DC2F33"/>
    <w:rsid w:val="00DD4463"/>
    <w:rsid w:val="00DD4D9A"/>
    <w:rsid w:val="00DE254B"/>
    <w:rsid w:val="00E05698"/>
    <w:rsid w:val="00E15519"/>
    <w:rsid w:val="00E16AFB"/>
    <w:rsid w:val="00E2203E"/>
    <w:rsid w:val="00E316DB"/>
    <w:rsid w:val="00E31BDD"/>
    <w:rsid w:val="00E3629F"/>
    <w:rsid w:val="00E37507"/>
    <w:rsid w:val="00E4207F"/>
    <w:rsid w:val="00E50FF0"/>
    <w:rsid w:val="00E54580"/>
    <w:rsid w:val="00E54CA5"/>
    <w:rsid w:val="00E6039D"/>
    <w:rsid w:val="00E65608"/>
    <w:rsid w:val="00E71CF9"/>
    <w:rsid w:val="00E72B0D"/>
    <w:rsid w:val="00E76B64"/>
    <w:rsid w:val="00E8739A"/>
    <w:rsid w:val="00E87C0E"/>
    <w:rsid w:val="00EA110F"/>
    <w:rsid w:val="00EC1EE9"/>
    <w:rsid w:val="00EC4A99"/>
    <w:rsid w:val="00ED6BC1"/>
    <w:rsid w:val="00EF6A24"/>
    <w:rsid w:val="00F25A23"/>
    <w:rsid w:val="00F40603"/>
    <w:rsid w:val="00F46DB0"/>
    <w:rsid w:val="00F60DB0"/>
    <w:rsid w:val="00F66CE3"/>
    <w:rsid w:val="00F712AD"/>
    <w:rsid w:val="00F71900"/>
    <w:rsid w:val="00F75410"/>
    <w:rsid w:val="00F76943"/>
    <w:rsid w:val="00F82BAF"/>
    <w:rsid w:val="00F85792"/>
    <w:rsid w:val="00F926A1"/>
    <w:rsid w:val="00F92A8C"/>
    <w:rsid w:val="00F97BEC"/>
    <w:rsid w:val="00FA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31C668"/>
  <w15:chartTrackingRefBased/>
  <w15:docId w15:val="{F52FC4BC-1B78-49C9-B4C9-13A866CEF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jc w:val="both"/>
    </w:pPr>
    <w:rPr>
      <w:snapToGrid w:val="0"/>
      <w:sz w:val="28"/>
      <w:szCs w:val="20"/>
    </w:rPr>
  </w:style>
  <w:style w:type="paragraph" w:styleId="2">
    <w:name w:val="Body Text 2"/>
    <w:basedOn w:val="a"/>
    <w:pPr>
      <w:jc w:val="both"/>
    </w:pPr>
    <w:rPr>
      <w:b/>
      <w:i/>
    </w:rPr>
  </w:style>
  <w:style w:type="paragraph" w:styleId="3">
    <w:name w:val="Body Text 3"/>
    <w:basedOn w:val="a"/>
    <w:pPr>
      <w:jc w:val="both"/>
    </w:pPr>
  </w:style>
  <w:style w:type="paragraph" w:styleId="a4">
    <w:name w:val="Body Text Indent"/>
    <w:basedOn w:val="a"/>
    <w:pPr>
      <w:ind w:left="180" w:hanging="180"/>
      <w:jc w:val="both"/>
    </w:pPr>
  </w:style>
  <w:style w:type="character" w:customStyle="1" w:styleId="hps">
    <w:name w:val="hps"/>
    <w:basedOn w:val="a0"/>
    <w:rsid w:val="000F414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F4FF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AF4FF0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F4FF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AF4FF0"/>
    <w:rPr>
      <w:rFonts w:ascii="Arial" w:hAnsi="Arial" w:cs="Arial"/>
      <w:vanish/>
      <w:sz w:val="16"/>
      <w:szCs w:val="16"/>
    </w:rPr>
  </w:style>
  <w:style w:type="character" w:customStyle="1" w:styleId="atn">
    <w:name w:val="atn"/>
    <w:basedOn w:val="a0"/>
    <w:rsid w:val="001403FC"/>
  </w:style>
  <w:style w:type="character" w:customStyle="1" w:styleId="longtext">
    <w:name w:val="long_text"/>
    <w:basedOn w:val="a0"/>
    <w:rsid w:val="00287977"/>
  </w:style>
  <w:style w:type="paragraph" w:styleId="a5">
    <w:name w:val="Balloon Text"/>
    <w:basedOn w:val="a"/>
    <w:link w:val="a6"/>
    <w:uiPriority w:val="99"/>
    <w:semiHidden/>
    <w:unhideWhenUsed/>
    <w:rsid w:val="00D55E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55E2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37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237BD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237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237BD"/>
    <w:rPr>
      <w:sz w:val="24"/>
      <w:szCs w:val="24"/>
    </w:rPr>
  </w:style>
  <w:style w:type="paragraph" w:customStyle="1" w:styleId="rvps2">
    <w:name w:val="rvps2"/>
    <w:basedOn w:val="a"/>
    <w:rsid w:val="00491C9E"/>
    <w:pPr>
      <w:spacing w:before="100" w:beforeAutospacing="1" w:after="100" w:afterAutospacing="1"/>
    </w:pPr>
  </w:style>
  <w:style w:type="character" w:customStyle="1" w:styleId="rvts11">
    <w:name w:val="rvts11"/>
    <w:rsid w:val="00491C9E"/>
  </w:style>
  <w:style w:type="character" w:customStyle="1" w:styleId="shorttext">
    <w:name w:val="short_text"/>
    <w:rsid w:val="004136EF"/>
  </w:style>
  <w:style w:type="paragraph" w:customStyle="1" w:styleId="BodyText21">
    <w:name w:val="Body Text 21"/>
    <w:basedOn w:val="a"/>
    <w:rsid w:val="00744506"/>
    <w:pPr>
      <w:widowControl w:val="0"/>
      <w:ind w:firstLine="567"/>
    </w:pPr>
    <w:rPr>
      <w:sz w:val="26"/>
      <w:szCs w:val="20"/>
    </w:rPr>
  </w:style>
  <w:style w:type="paragraph" w:customStyle="1" w:styleId="ab">
    <w:name w:val="a"/>
    <w:basedOn w:val="a"/>
    <w:rsid w:val="00744506"/>
    <w:rPr>
      <w:sz w:val="20"/>
      <w:szCs w:val="20"/>
    </w:rPr>
  </w:style>
  <w:style w:type="character" w:customStyle="1" w:styleId="tlid-translation">
    <w:name w:val="tlid-translation"/>
    <w:rsid w:val="004016D0"/>
  </w:style>
  <w:style w:type="character" w:styleId="ac">
    <w:name w:val="Hyperlink"/>
    <w:uiPriority w:val="99"/>
    <w:semiHidden/>
    <w:unhideWhenUsed/>
    <w:rsid w:val="00D060AB"/>
    <w:rPr>
      <w:strike w:val="0"/>
      <w:dstrike w:val="0"/>
      <w:color w:val="F17C0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8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13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37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3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16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68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985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150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083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7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0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77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85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1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30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whocc.no/atc_ddd_index/?code=N06BX03&amp;showdescription=y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21A7BDF79B1724B93B31233DCA909D2" ma:contentTypeVersion="11" ma:contentTypeDescription="Создание документа." ma:contentTypeScope="" ma:versionID="8b2f83cefa3a5f9eac7a6d91608a2de5">
  <xsd:schema xmlns:xsd="http://www.w3.org/2001/XMLSchema" xmlns:xs="http://www.w3.org/2001/XMLSchema" xmlns:p="http://schemas.microsoft.com/office/2006/metadata/properties" xmlns:ns2="c37aa8d1-fcb5-4da1-86ca-512179f80953" targetNamespace="http://schemas.microsoft.com/office/2006/metadata/properties" ma:root="true" ma:fieldsID="459f863b118fca6bf4b71d36f4e9606b" ns2:_="">
    <xsd:import namespace="c37aa8d1-fcb5-4da1-86ca-512179f809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aa8d1-fcb5-4da1-86ca-512179f809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D63162-B30F-427C-B4E8-E6BA3A6E5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7aa8d1-fcb5-4da1-86ca-512179f809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C10624-9E86-427D-93B1-6311C1C66C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2D3328-BC68-4AE0-BACB-462A17C8C1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8153</Words>
  <Characters>4648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12776</CharactersWithSpaces>
  <SharedDoc>false</SharedDoc>
  <HLinks>
    <vt:vector size="6" baseType="variant">
      <vt:variant>
        <vt:i4>5701635</vt:i4>
      </vt:variant>
      <vt:variant>
        <vt:i4>0</vt:i4>
      </vt:variant>
      <vt:variant>
        <vt:i4>0</vt:i4>
      </vt:variant>
      <vt:variant>
        <vt:i4>5</vt:i4>
      </vt:variant>
      <vt:variant>
        <vt:lpwstr>https://www.whocc.no/atc_ddd_index/?code=N06BX03&amp;showdescription=yes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word</dc:creator>
  <cp:keywords/>
  <dc:description/>
  <cp:lastModifiedBy>Protsenko Halyna</cp:lastModifiedBy>
  <cp:revision>7</cp:revision>
  <cp:lastPrinted>2020-03-12T10:07:00Z</cp:lastPrinted>
  <dcterms:created xsi:type="dcterms:W3CDTF">2022-02-10T21:28:00Z</dcterms:created>
  <dcterms:modified xsi:type="dcterms:W3CDTF">2022-02-16T07:48:00Z</dcterms:modified>
</cp:coreProperties>
</file>