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866D1" w14:textId="77777777" w:rsidR="005237BD" w:rsidRPr="00615793" w:rsidRDefault="005237BD" w:rsidP="0005696A">
      <w:pPr>
        <w:pStyle w:val="a3"/>
        <w:ind w:left="5954"/>
        <w:jc w:val="center"/>
        <w:rPr>
          <w:b/>
          <w:bCs/>
          <w:sz w:val="24"/>
          <w:szCs w:val="24"/>
        </w:rPr>
      </w:pPr>
      <w:r w:rsidRPr="00615793">
        <w:rPr>
          <w:b/>
          <w:bCs/>
          <w:sz w:val="24"/>
          <w:szCs w:val="24"/>
        </w:rPr>
        <w:t>УТВЕРЖДЕНО</w:t>
      </w:r>
    </w:p>
    <w:p w14:paraId="30089B9F" w14:textId="77777777" w:rsidR="00BB6A55" w:rsidRDefault="005237BD" w:rsidP="0005696A">
      <w:pPr>
        <w:pStyle w:val="a3"/>
        <w:ind w:left="5954"/>
        <w:jc w:val="center"/>
        <w:rPr>
          <w:b/>
          <w:bCs/>
          <w:sz w:val="24"/>
          <w:szCs w:val="24"/>
        </w:rPr>
      </w:pPr>
      <w:r w:rsidRPr="00615793">
        <w:rPr>
          <w:b/>
          <w:bCs/>
          <w:sz w:val="24"/>
          <w:szCs w:val="24"/>
        </w:rPr>
        <w:t xml:space="preserve">Приказ Министерства </w:t>
      </w:r>
    </w:p>
    <w:p w14:paraId="19F866D2" w14:textId="5DE83365" w:rsidR="005237BD" w:rsidRPr="00615793" w:rsidRDefault="005237BD" w:rsidP="0005696A">
      <w:pPr>
        <w:pStyle w:val="a3"/>
        <w:ind w:left="5954"/>
        <w:jc w:val="center"/>
        <w:rPr>
          <w:b/>
          <w:bCs/>
          <w:sz w:val="24"/>
          <w:szCs w:val="24"/>
        </w:rPr>
      </w:pPr>
      <w:r w:rsidRPr="00615793">
        <w:rPr>
          <w:b/>
          <w:bCs/>
          <w:sz w:val="24"/>
          <w:szCs w:val="24"/>
        </w:rPr>
        <w:t>здравоохранения Украины</w:t>
      </w:r>
    </w:p>
    <w:p w14:paraId="19F866D3" w14:textId="77777777" w:rsidR="005237BD" w:rsidRPr="00BB6A55" w:rsidRDefault="00A55D43" w:rsidP="0005696A">
      <w:pPr>
        <w:pStyle w:val="a3"/>
        <w:ind w:left="5954"/>
        <w:jc w:val="center"/>
        <w:rPr>
          <w:b/>
          <w:bCs/>
          <w:sz w:val="24"/>
          <w:szCs w:val="24"/>
          <w:u w:val="single"/>
        </w:rPr>
      </w:pPr>
      <w:r w:rsidRPr="00BB6A55">
        <w:rPr>
          <w:b/>
          <w:bCs/>
          <w:sz w:val="24"/>
          <w:szCs w:val="24"/>
          <w:u w:val="single"/>
        </w:rPr>
        <w:t>27.02.2020</w:t>
      </w:r>
      <w:r w:rsidRPr="00615793">
        <w:rPr>
          <w:b/>
          <w:bCs/>
          <w:sz w:val="24"/>
          <w:szCs w:val="24"/>
        </w:rPr>
        <w:t xml:space="preserve"> № </w:t>
      </w:r>
      <w:r w:rsidRPr="00BB6A55">
        <w:rPr>
          <w:b/>
          <w:bCs/>
          <w:sz w:val="24"/>
          <w:szCs w:val="24"/>
          <w:u w:val="single"/>
        </w:rPr>
        <w:t>577</w:t>
      </w:r>
    </w:p>
    <w:p w14:paraId="19F866D4" w14:textId="77777777" w:rsidR="005237BD" w:rsidRPr="00615793" w:rsidRDefault="005237BD" w:rsidP="0005696A">
      <w:pPr>
        <w:pStyle w:val="a3"/>
        <w:ind w:left="5954"/>
        <w:jc w:val="center"/>
        <w:rPr>
          <w:b/>
          <w:bCs/>
          <w:sz w:val="24"/>
          <w:szCs w:val="24"/>
        </w:rPr>
      </w:pPr>
      <w:r w:rsidRPr="00615793">
        <w:rPr>
          <w:b/>
          <w:bCs/>
          <w:sz w:val="24"/>
          <w:szCs w:val="24"/>
        </w:rPr>
        <w:t>Регистрационное свидетельство</w:t>
      </w:r>
    </w:p>
    <w:p w14:paraId="19F866D5" w14:textId="77777777" w:rsidR="00A55D43" w:rsidRPr="00BB6A55" w:rsidRDefault="005237BD" w:rsidP="00A55D43">
      <w:pPr>
        <w:pStyle w:val="a3"/>
        <w:ind w:left="5954"/>
        <w:jc w:val="center"/>
        <w:rPr>
          <w:b/>
          <w:bCs/>
          <w:sz w:val="24"/>
          <w:szCs w:val="24"/>
          <w:u w:val="single"/>
        </w:rPr>
      </w:pPr>
      <w:r w:rsidRPr="00BB6A55">
        <w:rPr>
          <w:b/>
          <w:bCs/>
          <w:sz w:val="24"/>
          <w:szCs w:val="24"/>
          <w:u w:val="single"/>
        </w:rPr>
        <w:t>№ UA/17957/01/01</w:t>
      </w:r>
    </w:p>
    <w:p w14:paraId="19F866D6" w14:textId="77777777" w:rsidR="00B11795" w:rsidRPr="00615793" w:rsidRDefault="00B11795" w:rsidP="0005696A">
      <w:pPr>
        <w:ind w:left="5954"/>
        <w:jc w:val="center"/>
        <w:rPr>
          <w:lang w:val="uk-UA"/>
        </w:rPr>
      </w:pPr>
    </w:p>
    <w:p w14:paraId="19F866D7" w14:textId="77777777" w:rsidR="00573191" w:rsidRPr="00615793" w:rsidRDefault="00573191" w:rsidP="00573191">
      <w:pPr>
        <w:ind w:left="5954"/>
        <w:jc w:val="center"/>
        <w:rPr>
          <w:b/>
        </w:rPr>
      </w:pPr>
      <w:r w:rsidRPr="00615793">
        <w:rPr>
          <w:b/>
        </w:rPr>
        <w:t>ИЗМЕНЕНИЯ ВНЕСЕНЫ</w:t>
      </w:r>
    </w:p>
    <w:p w14:paraId="19F866D8" w14:textId="77777777" w:rsidR="00573191" w:rsidRPr="00615793" w:rsidRDefault="00573191" w:rsidP="00573191">
      <w:pPr>
        <w:ind w:left="5954"/>
        <w:jc w:val="center"/>
        <w:rPr>
          <w:b/>
        </w:rPr>
      </w:pPr>
      <w:r w:rsidRPr="00615793">
        <w:rPr>
          <w:b/>
        </w:rPr>
        <w:t>Приказ Министерства охраны</w:t>
      </w:r>
    </w:p>
    <w:p w14:paraId="19F866D9" w14:textId="77777777" w:rsidR="00573191" w:rsidRPr="00615793" w:rsidRDefault="00573191" w:rsidP="00573191">
      <w:pPr>
        <w:ind w:left="5954"/>
        <w:jc w:val="center"/>
        <w:rPr>
          <w:b/>
        </w:rPr>
      </w:pPr>
      <w:r w:rsidRPr="00615793">
        <w:rPr>
          <w:b/>
        </w:rPr>
        <w:t>здоровья Украины</w:t>
      </w:r>
    </w:p>
    <w:p w14:paraId="19F866DA" w14:textId="77777777" w:rsidR="00BC431C" w:rsidRPr="00BB6A55" w:rsidRDefault="00AD6E28" w:rsidP="00573191">
      <w:pPr>
        <w:ind w:left="5954"/>
        <w:jc w:val="center"/>
        <w:rPr>
          <w:u w:val="single"/>
        </w:rPr>
      </w:pPr>
      <w:r w:rsidRPr="00BB6A55">
        <w:rPr>
          <w:b/>
          <w:u w:val="single"/>
        </w:rPr>
        <w:t xml:space="preserve">09.06.2021 </w:t>
      </w:r>
      <w:r w:rsidRPr="00615793">
        <w:rPr>
          <w:b/>
        </w:rPr>
        <w:t xml:space="preserve">№ </w:t>
      </w:r>
      <w:r w:rsidRPr="00BB6A55">
        <w:rPr>
          <w:b/>
          <w:u w:val="single"/>
        </w:rPr>
        <w:t>1163</w:t>
      </w:r>
    </w:p>
    <w:p w14:paraId="19F866DB" w14:textId="77777777" w:rsidR="004E3F99" w:rsidRPr="00615793" w:rsidRDefault="004E3F99" w:rsidP="00491C9E">
      <w:pPr>
        <w:jc w:val="center"/>
        <w:rPr>
          <w:lang w:val="uk-UA"/>
        </w:rPr>
      </w:pPr>
    </w:p>
    <w:p w14:paraId="19F866DC" w14:textId="77777777" w:rsidR="00BC4634" w:rsidRPr="00615793" w:rsidRDefault="00BC4634">
      <w:pPr>
        <w:jc w:val="center"/>
        <w:rPr>
          <w:b/>
        </w:rPr>
      </w:pPr>
      <w:r w:rsidRPr="00615793">
        <w:rPr>
          <w:b/>
        </w:rPr>
        <w:t>ИНСТРУКЦИЯ</w:t>
      </w:r>
    </w:p>
    <w:p w14:paraId="19F866DD" w14:textId="2758CE04" w:rsidR="00BC4634" w:rsidRPr="00615793" w:rsidRDefault="003466EE">
      <w:pPr>
        <w:jc w:val="center"/>
        <w:rPr>
          <w:b/>
        </w:rPr>
      </w:pPr>
      <w:r>
        <w:rPr>
          <w:b/>
        </w:rPr>
        <w:t>по</w:t>
      </w:r>
      <w:r w:rsidR="00BC4634" w:rsidRPr="00615793">
        <w:rPr>
          <w:b/>
        </w:rPr>
        <w:t xml:space="preserve"> медицинско</w:t>
      </w:r>
      <w:r>
        <w:rPr>
          <w:b/>
        </w:rPr>
        <w:t xml:space="preserve">му </w:t>
      </w:r>
      <w:r w:rsidR="00BC4634" w:rsidRPr="00615793">
        <w:rPr>
          <w:b/>
        </w:rPr>
        <w:t>применени</w:t>
      </w:r>
      <w:r>
        <w:rPr>
          <w:b/>
        </w:rPr>
        <w:t>ю</w:t>
      </w:r>
      <w:r w:rsidR="00BC4634" w:rsidRPr="00615793">
        <w:rPr>
          <w:b/>
        </w:rPr>
        <w:t xml:space="preserve"> лекарственного средства</w:t>
      </w:r>
    </w:p>
    <w:p w14:paraId="19F866DE" w14:textId="77777777" w:rsidR="00E6039D" w:rsidRPr="003466EE" w:rsidRDefault="00E6039D">
      <w:pPr>
        <w:ind w:left="2040" w:right="2000"/>
        <w:jc w:val="center"/>
        <w:rPr>
          <w:b/>
          <w:bCs/>
          <w:lang w:val="uk-UA"/>
        </w:rPr>
      </w:pPr>
    </w:p>
    <w:p w14:paraId="19F866DF" w14:textId="77777777" w:rsidR="00491C9E" w:rsidRPr="003466EE" w:rsidRDefault="004773DA" w:rsidP="00491C9E">
      <w:pPr>
        <w:pStyle w:val="rvps2"/>
        <w:spacing w:before="0" w:beforeAutospacing="0" w:after="0" w:afterAutospacing="0"/>
        <w:jc w:val="center"/>
        <w:rPr>
          <w:b/>
          <w:bCs/>
        </w:rPr>
      </w:pPr>
      <w:r w:rsidRPr="003466EE">
        <w:rPr>
          <w:b/>
          <w:bCs/>
        </w:rPr>
        <w:t>Гипнос</w:t>
      </w:r>
      <w:r w:rsidRPr="003466EE">
        <w:rPr>
          <w:b/>
          <w:bCs/>
          <w:vertAlign w:val="superscript"/>
        </w:rPr>
        <w:t>®</w:t>
      </w:r>
    </w:p>
    <w:p w14:paraId="19F866E0" w14:textId="77777777" w:rsidR="0095487D" w:rsidRPr="00615793" w:rsidRDefault="0095487D" w:rsidP="00566781">
      <w:pPr>
        <w:jc w:val="both"/>
        <w:rPr>
          <w:b/>
          <w:i/>
        </w:rPr>
      </w:pPr>
      <w:bookmarkStart w:id="0" w:name="n1778"/>
      <w:bookmarkEnd w:id="0"/>
    </w:p>
    <w:p w14:paraId="19F866E1" w14:textId="77777777" w:rsidR="0095487D" w:rsidRPr="00615793" w:rsidRDefault="0095487D" w:rsidP="00566781">
      <w:pPr>
        <w:jc w:val="both"/>
        <w:rPr>
          <w:b/>
          <w:i/>
          <w:lang w:val="uk-UA"/>
        </w:rPr>
      </w:pPr>
    </w:p>
    <w:p w14:paraId="19F866E2" w14:textId="77777777" w:rsidR="0095487D" w:rsidRPr="00615793" w:rsidRDefault="00BC4634" w:rsidP="00566781">
      <w:pPr>
        <w:jc w:val="both"/>
        <w:rPr>
          <w:b/>
          <w:i/>
        </w:rPr>
      </w:pPr>
      <w:r w:rsidRPr="00615793">
        <w:rPr>
          <w:b/>
          <w:i/>
        </w:rPr>
        <w:t>Состав:</w:t>
      </w:r>
    </w:p>
    <w:p w14:paraId="19F866E3" w14:textId="77777777" w:rsidR="004773DA" w:rsidRPr="00615793" w:rsidRDefault="00491C9E" w:rsidP="00566781">
      <w:r w:rsidRPr="00615793">
        <w:rPr>
          <w:i/>
        </w:rPr>
        <w:t>действующее вещество:</w:t>
      </w:r>
      <w:r w:rsidRPr="00615793">
        <w:t xml:space="preserve"> </w:t>
      </w:r>
      <w:proofErr w:type="spellStart"/>
      <w:r w:rsidRPr="00615793">
        <w:t>doxylamine</w:t>
      </w:r>
      <w:proofErr w:type="spellEnd"/>
      <w:r w:rsidRPr="00615793">
        <w:t>;</w:t>
      </w:r>
    </w:p>
    <w:p w14:paraId="19F866E4" w14:textId="77777777" w:rsidR="004773DA" w:rsidRPr="00615793" w:rsidRDefault="004773DA" w:rsidP="00566781">
      <w:r w:rsidRPr="00615793">
        <w:t xml:space="preserve">1 таблетка, покрытая оболочкой, содержит </w:t>
      </w:r>
      <w:proofErr w:type="spellStart"/>
      <w:r w:rsidRPr="00615793">
        <w:t>сукцинат</w:t>
      </w:r>
      <w:proofErr w:type="spellEnd"/>
      <w:r w:rsidRPr="00615793">
        <w:t xml:space="preserve"> </w:t>
      </w:r>
      <w:proofErr w:type="spellStart"/>
      <w:r w:rsidRPr="00615793">
        <w:t>доксиламина</w:t>
      </w:r>
      <w:proofErr w:type="spellEnd"/>
      <w:r w:rsidRPr="00615793">
        <w:t xml:space="preserve"> 15 мг;</w:t>
      </w:r>
    </w:p>
    <w:p w14:paraId="19F866E5" w14:textId="77777777" w:rsidR="00491C9E" w:rsidRPr="00615793" w:rsidRDefault="00491C9E" w:rsidP="00566781">
      <w:pPr>
        <w:pStyle w:val="rvps2"/>
        <w:spacing w:before="0" w:beforeAutospacing="0" w:after="0" w:afterAutospacing="0"/>
        <w:jc w:val="both"/>
      </w:pPr>
      <w:bookmarkStart w:id="1" w:name="n1781"/>
      <w:bookmarkStart w:id="2" w:name="n1782"/>
      <w:bookmarkEnd w:id="1"/>
      <w:bookmarkEnd w:id="2"/>
      <w:r w:rsidRPr="00615793">
        <w:rPr>
          <w:i/>
        </w:rPr>
        <w:t xml:space="preserve">вспомогательные вещества: </w:t>
      </w:r>
      <w:r w:rsidRPr="00615793">
        <w:t xml:space="preserve">лактоза моногидрат, микрокристаллическая целлюлоза, натрия </w:t>
      </w:r>
      <w:proofErr w:type="spellStart"/>
      <w:r w:rsidRPr="00615793">
        <w:t>кроскармелоза</w:t>
      </w:r>
      <w:proofErr w:type="spellEnd"/>
      <w:r w:rsidRPr="00615793">
        <w:t xml:space="preserve">, магния </w:t>
      </w:r>
      <w:proofErr w:type="spellStart"/>
      <w:r w:rsidRPr="00615793">
        <w:t>стеарат</w:t>
      </w:r>
      <w:proofErr w:type="spellEnd"/>
      <w:r w:rsidRPr="00615793">
        <w:t xml:space="preserve">, </w:t>
      </w:r>
      <w:proofErr w:type="spellStart"/>
      <w:r w:rsidRPr="00615793">
        <w:t>Opadry</w:t>
      </w:r>
      <w:proofErr w:type="spellEnd"/>
      <w:r w:rsidRPr="00615793">
        <w:t xml:space="preserve"> F85 White.</w:t>
      </w:r>
    </w:p>
    <w:p w14:paraId="19F866E6" w14:textId="77777777" w:rsidR="00BC4634" w:rsidRPr="00615793" w:rsidRDefault="00BC4634" w:rsidP="00566781">
      <w:pPr>
        <w:jc w:val="both"/>
        <w:rPr>
          <w:lang w:val="uk-UA"/>
        </w:rPr>
      </w:pPr>
    </w:p>
    <w:p w14:paraId="19F866E7" w14:textId="77777777" w:rsidR="00491C9E" w:rsidRPr="00615793" w:rsidRDefault="00BC4634" w:rsidP="00566781">
      <w:pPr>
        <w:jc w:val="both"/>
      </w:pPr>
      <w:r w:rsidRPr="00615793">
        <w:rPr>
          <w:b/>
        </w:rPr>
        <w:t xml:space="preserve">Лекарственная форма </w:t>
      </w:r>
      <w:r w:rsidRPr="00615793">
        <w:t>Таблетки, покрытые оболочкой.</w:t>
      </w:r>
    </w:p>
    <w:p w14:paraId="19F866E8" w14:textId="77777777" w:rsidR="00BC4634" w:rsidRPr="00615793" w:rsidRDefault="00BC431C" w:rsidP="00566781">
      <w:pPr>
        <w:jc w:val="both"/>
      </w:pPr>
      <w:r w:rsidRPr="00615793">
        <w:rPr>
          <w:bCs/>
          <w:i/>
          <w:iCs/>
        </w:rPr>
        <w:t xml:space="preserve">Основные физико-химические свойства: </w:t>
      </w:r>
      <w:r w:rsidRPr="00615793">
        <w:t>таблетки овальной формы, покрытые оболочкой белого или почти белого цвета, с двусторонней чертой для разделения.</w:t>
      </w:r>
    </w:p>
    <w:p w14:paraId="19F866E9" w14:textId="77777777" w:rsidR="00756AB3" w:rsidRPr="00615793" w:rsidRDefault="00756AB3" w:rsidP="00566781">
      <w:pPr>
        <w:autoSpaceDE w:val="0"/>
        <w:autoSpaceDN w:val="0"/>
        <w:adjustRightInd w:val="0"/>
        <w:rPr>
          <w:b/>
          <w:lang w:val="uk-UA"/>
        </w:rPr>
      </w:pPr>
    </w:p>
    <w:p w14:paraId="19F866EA" w14:textId="77777777" w:rsidR="00867648" w:rsidRPr="00615793" w:rsidRDefault="00BC4634" w:rsidP="00566781">
      <w:pPr>
        <w:jc w:val="both"/>
      </w:pPr>
      <w:r w:rsidRPr="00615793">
        <w:rPr>
          <w:b/>
        </w:rPr>
        <w:t>Фармакотерапевтическая группа.</w:t>
      </w:r>
      <w:r w:rsidRPr="00615793">
        <w:t xml:space="preserve"> Антигистаминные средства для системного применения. </w:t>
      </w:r>
      <w:proofErr w:type="spellStart"/>
      <w:r w:rsidRPr="00615793">
        <w:t>Доксиламин</w:t>
      </w:r>
      <w:proofErr w:type="spellEnd"/>
      <w:r w:rsidRPr="00615793">
        <w:t xml:space="preserve">. Код АТХ R06А А09. </w:t>
      </w:r>
    </w:p>
    <w:p w14:paraId="19F866EB" w14:textId="77777777" w:rsidR="00ED2530" w:rsidRPr="00615793" w:rsidRDefault="00ED2530" w:rsidP="00566781">
      <w:pPr>
        <w:jc w:val="both"/>
      </w:pPr>
      <w:r w:rsidRPr="00615793">
        <w:t xml:space="preserve">Другие снотворные и седативные средства. Код ATХ N05C M. </w:t>
      </w:r>
    </w:p>
    <w:p w14:paraId="19F866EC" w14:textId="77777777" w:rsidR="00BC4634" w:rsidRPr="00615793" w:rsidRDefault="00BC4634" w:rsidP="00566781">
      <w:pPr>
        <w:jc w:val="both"/>
        <w:rPr>
          <w:b/>
          <w:lang w:val="uk-UA"/>
        </w:rPr>
      </w:pPr>
    </w:p>
    <w:p w14:paraId="19F866ED" w14:textId="77777777" w:rsidR="00435B55" w:rsidRPr="00615793" w:rsidRDefault="00435B55" w:rsidP="00435B55">
      <w:pPr>
        <w:rPr>
          <w:b/>
          <w:i/>
        </w:rPr>
      </w:pPr>
      <w:r w:rsidRPr="00615793">
        <w:rPr>
          <w:b/>
          <w:i/>
        </w:rPr>
        <w:t>Фармакологические свойства.</w:t>
      </w:r>
    </w:p>
    <w:p w14:paraId="19F866EE" w14:textId="77777777" w:rsidR="00435B55" w:rsidRPr="00615793" w:rsidRDefault="0091728E" w:rsidP="00435B55">
      <w:pPr>
        <w:widowControl w:val="0"/>
        <w:snapToGrid w:val="0"/>
        <w:jc w:val="both"/>
        <w:rPr>
          <w:i/>
        </w:rPr>
      </w:pPr>
      <w:proofErr w:type="spellStart"/>
      <w:r w:rsidRPr="00615793">
        <w:rPr>
          <w:i/>
        </w:rPr>
        <w:t>Фармакодинамика</w:t>
      </w:r>
      <w:proofErr w:type="spellEnd"/>
      <w:r w:rsidRPr="00615793">
        <w:rPr>
          <w:i/>
        </w:rPr>
        <w:t>.</w:t>
      </w:r>
    </w:p>
    <w:p w14:paraId="19F866EF" w14:textId="77777777" w:rsidR="00ED2530" w:rsidRPr="00615793" w:rsidRDefault="00ED2530" w:rsidP="00ED2530">
      <w:pPr>
        <w:suppressAutoHyphens/>
        <w:jc w:val="both"/>
      </w:pPr>
      <w:r w:rsidRPr="00615793">
        <w:t>Гипнос</w:t>
      </w:r>
      <w:r w:rsidRPr="00615793">
        <w:rPr>
          <w:vertAlign w:val="superscript"/>
        </w:rPr>
        <w:t>®</w:t>
      </w:r>
      <w:r w:rsidRPr="00615793">
        <w:t xml:space="preserve"> – снотворное средство класса этаноламина из группы блокаторов </w:t>
      </w:r>
      <w:proofErr w:type="spellStart"/>
      <w:r w:rsidRPr="00615793">
        <w:t>гистаминовых</w:t>
      </w:r>
      <w:proofErr w:type="spellEnd"/>
      <w:r w:rsidRPr="00615793">
        <w:t xml:space="preserve"> H</w:t>
      </w:r>
      <w:r w:rsidRPr="00615793">
        <w:rPr>
          <w:vertAlign w:val="subscript"/>
        </w:rPr>
        <w:t>1</w:t>
      </w:r>
      <w:r w:rsidRPr="00615793">
        <w:t>-рецепторов, оказывает седативное и М-</w:t>
      </w:r>
      <w:proofErr w:type="spellStart"/>
      <w:r w:rsidRPr="00615793">
        <w:t>холиноблокирующее</w:t>
      </w:r>
      <w:proofErr w:type="spellEnd"/>
      <w:r w:rsidRPr="00615793">
        <w:t xml:space="preserve"> действие. Сокращает время засыпания, повышает продолжительность и качество сна.</w:t>
      </w:r>
    </w:p>
    <w:p w14:paraId="19F866F0" w14:textId="77777777" w:rsidR="00435B55" w:rsidRPr="00615793" w:rsidRDefault="00435B55" w:rsidP="00435B55">
      <w:pPr>
        <w:jc w:val="both"/>
        <w:rPr>
          <w:i/>
        </w:rPr>
      </w:pPr>
      <w:r w:rsidRPr="00615793">
        <w:rPr>
          <w:i/>
        </w:rPr>
        <w:t>Фармакокинетика.</w:t>
      </w:r>
    </w:p>
    <w:p w14:paraId="19F866F1" w14:textId="77777777" w:rsidR="00ED2530" w:rsidRPr="00615793" w:rsidRDefault="00ED2530" w:rsidP="00ED2530">
      <w:pPr>
        <w:jc w:val="both"/>
      </w:pPr>
      <w:proofErr w:type="spellStart"/>
      <w:r w:rsidRPr="00615793">
        <w:t>C</w:t>
      </w:r>
      <w:r w:rsidRPr="00615793">
        <w:rPr>
          <w:vertAlign w:val="subscript"/>
        </w:rPr>
        <w:t>max</w:t>
      </w:r>
      <w:proofErr w:type="spellEnd"/>
      <w:r w:rsidRPr="00615793">
        <w:t xml:space="preserve"> в плазме крови достигается через 2 ч после применения таблеток. Средний период полувыведения из плазмы крови составляет в среднем 10 часов.</w:t>
      </w:r>
    </w:p>
    <w:p w14:paraId="19F866F2" w14:textId="77777777" w:rsidR="00ED2530" w:rsidRPr="00615793" w:rsidRDefault="00ED2530" w:rsidP="00ED2530">
      <w:pPr>
        <w:suppressAutoHyphens/>
        <w:jc w:val="both"/>
        <w:rPr>
          <w:b/>
          <w:bCs/>
        </w:rPr>
      </w:pPr>
      <w:proofErr w:type="spellStart"/>
      <w:r w:rsidRPr="00615793">
        <w:t>Доксиламина</w:t>
      </w:r>
      <w:proofErr w:type="spellEnd"/>
      <w:r w:rsidRPr="00615793">
        <w:t xml:space="preserve"> </w:t>
      </w:r>
      <w:proofErr w:type="spellStart"/>
      <w:r w:rsidRPr="00615793">
        <w:t>сукцинат</w:t>
      </w:r>
      <w:proofErr w:type="spellEnd"/>
      <w:r w:rsidRPr="00615793">
        <w:t xml:space="preserve"> подвергается </w:t>
      </w:r>
      <w:proofErr w:type="spellStart"/>
      <w:r w:rsidRPr="00615793">
        <w:t>биотрансформации</w:t>
      </w:r>
      <w:proofErr w:type="spellEnd"/>
      <w:r w:rsidRPr="00615793">
        <w:t xml:space="preserve"> в печени. </w:t>
      </w:r>
      <w:proofErr w:type="spellStart"/>
      <w:r w:rsidRPr="00615793">
        <w:t>Доксиламина</w:t>
      </w:r>
      <w:proofErr w:type="spellEnd"/>
      <w:r w:rsidRPr="00615793">
        <w:t xml:space="preserve"> </w:t>
      </w:r>
      <w:proofErr w:type="spellStart"/>
      <w:r w:rsidRPr="00615793">
        <w:t>сукцинат</w:t>
      </w:r>
      <w:proofErr w:type="spellEnd"/>
      <w:r w:rsidRPr="00615793">
        <w:t xml:space="preserve"> частично </w:t>
      </w:r>
      <w:proofErr w:type="spellStart"/>
      <w:r w:rsidRPr="00615793">
        <w:t>метаболизируется</w:t>
      </w:r>
      <w:proofErr w:type="spellEnd"/>
      <w:r w:rsidRPr="00615793">
        <w:t xml:space="preserve"> в печени путем деметилирования и N-ацетилирования. Период полувыведения может значительно увеличиться у пациентов пожилого возраста или у пациентов с почечной или печеночной недостаточностью. Различные метаболиты, образующиеся при распаде молекулы, не являются количественно значимыми, поскольку 60% применяемой дозы оказывается в моче в форме неизмененного </w:t>
      </w:r>
      <w:proofErr w:type="spellStart"/>
      <w:r w:rsidRPr="00615793">
        <w:t>доксиламина</w:t>
      </w:r>
      <w:proofErr w:type="spellEnd"/>
      <w:r w:rsidRPr="00615793">
        <w:t>.</w:t>
      </w:r>
    </w:p>
    <w:p w14:paraId="19F866F3" w14:textId="77777777" w:rsidR="00435B55" w:rsidRPr="00615793" w:rsidRDefault="00435B55">
      <w:pPr>
        <w:jc w:val="both"/>
        <w:rPr>
          <w:b/>
          <w:lang w:val="uk-UA"/>
        </w:rPr>
      </w:pPr>
    </w:p>
    <w:p w14:paraId="19F866F4" w14:textId="77777777" w:rsidR="002D7B4F" w:rsidRPr="00615793" w:rsidRDefault="002D7B4F" w:rsidP="002D7B4F">
      <w:pPr>
        <w:rPr>
          <w:b/>
          <w:i/>
        </w:rPr>
      </w:pPr>
      <w:r w:rsidRPr="00615793">
        <w:rPr>
          <w:b/>
        </w:rPr>
        <w:t>Клинические характеристики.</w:t>
      </w:r>
    </w:p>
    <w:p w14:paraId="19F866F5" w14:textId="77777777" w:rsidR="002D7B4F" w:rsidRPr="00615793" w:rsidRDefault="005E439D" w:rsidP="002D7B4F">
      <w:pPr>
        <w:widowControl w:val="0"/>
        <w:rPr>
          <w:b/>
          <w:i/>
        </w:rPr>
      </w:pPr>
      <w:r w:rsidRPr="00615793">
        <w:rPr>
          <w:b/>
          <w:i/>
        </w:rPr>
        <w:t>Показания.</w:t>
      </w:r>
    </w:p>
    <w:p w14:paraId="19F866F6" w14:textId="77777777" w:rsidR="00ED2530" w:rsidRPr="00615793" w:rsidRDefault="00ED2530" w:rsidP="00ED2530">
      <w:pPr>
        <w:ind w:right="57"/>
        <w:rPr>
          <w:b/>
        </w:rPr>
      </w:pPr>
      <w:r w:rsidRPr="00615793">
        <w:t>Периодическая и транзиторная бессонница у взрослых.</w:t>
      </w:r>
    </w:p>
    <w:p w14:paraId="19F866F7" w14:textId="77777777" w:rsidR="004E3F99" w:rsidRPr="00615793" w:rsidRDefault="004E3F99" w:rsidP="002D7B4F">
      <w:pPr>
        <w:rPr>
          <w:lang w:val="uk-UA"/>
        </w:rPr>
      </w:pPr>
    </w:p>
    <w:p w14:paraId="19F866F8" w14:textId="77777777" w:rsidR="002D7B4F" w:rsidRPr="00615793" w:rsidRDefault="0091728E" w:rsidP="002D7B4F">
      <w:pPr>
        <w:rPr>
          <w:b/>
          <w:i/>
        </w:rPr>
      </w:pPr>
      <w:r w:rsidRPr="00615793">
        <w:rPr>
          <w:b/>
          <w:i/>
        </w:rPr>
        <w:t>Противопоказания.</w:t>
      </w:r>
    </w:p>
    <w:p w14:paraId="19F866F9" w14:textId="77777777" w:rsidR="00ED2530" w:rsidRPr="00615793" w:rsidRDefault="00ED2530" w:rsidP="00ED2530">
      <w:pPr>
        <w:jc w:val="both"/>
      </w:pPr>
      <w:r w:rsidRPr="00615793">
        <w:t xml:space="preserve">Повышенная чувствительность к любым компонентам лекарственного средства или другим антигистаминным лекарственным средствам; </w:t>
      </w:r>
      <w:proofErr w:type="spellStart"/>
      <w:r w:rsidRPr="00615793">
        <w:t>закрытоугольная</w:t>
      </w:r>
      <w:proofErr w:type="spellEnd"/>
      <w:r w:rsidRPr="00615793">
        <w:t xml:space="preserve"> глаукома в анамнезе пациента или в семейном анамнезе; затрудненное мочеиспускание (заболевание уретры и предстательной железы). </w:t>
      </w:r>
    </w:p>
    <w:p w14:paraId="19F866FA" w14:textId="77777777" w:rsidR="00AE77A4" w:rsidRPr="00615793" w:rsidRDefault="00AE77A4" w:rsidP="002A1132">
      <w:pPr>
        <w:widowControl w:val="0"/>
        <w:snapToGrid w:val="0"/>
        <w:rPr>
          <w:b/>
          <w:i/>
          <w:lang w:val="uk-UA" w:eastAsia="uk-UA"/>
        </w:rPr>
      </w:pPr>
    </w:p>
    <w:p w14:paraId="19F866FB" w14:textId="77777777" w:rsidR="002A1132" w:rsidRPr="00615793" w:rsidRDefault="002A1132" w:rsidP="002A1132">
      <w:pPr>
        <w:widowControl w:val="0"/>
        <w:snapToGrid w:val="0"/>
        <w:rPr>
          <w:b/>
          <w:i/>
        </w:rPr>
      </w:pPr>
      <w:r w:rsidRPr="00615793">
        <w:rPr>
          <w:b/>
          <w:i/>
        </w:rPr>
        <w:t>Взаимодействие с другими лекарственными средствами и другие виды взаимодействий.</w:t>
      </w:r>
    </w:p>
    <w:p w14:paraId="19F866FC" w14:textId="77777777" w:rsidR="00ED2530" w:rsidRPr="00615793" w:rsidRDefault="00ED2530" w:rsidP="00ED2530">
      <w:pPr>
        <w:jc w:val="both"/>
      </w:pPr>
      <w:r w:rsidRPr="00615793">
        <w:t>Алкоголь усиливает седативный эффект большинства Н</w:t>
      </w:r>
      <w:r w:rsidRPr="00615793">
        <w:rPr>
          <w:vertAlign w:val="subscript"/>
        </w:rPr>
        <w:t>1</w:t>
      </w:r>
      <w:r w:rsidRPr="00615793">
        <w:t>-антигистаминных средств. Следует избегать употребления алкогольных напитков и применения лекарственных средств, содержащих этанол.</w:t>
      </w:r>
    </w:p>
    <w:p w14:paraId="19F866FD" w14:textId="77777777" w:rsidR="00ED2530" w:rsidRPr="00615793" w:rsidRDefault="00ED2530" w:rsidP="00ED2530">
      <w:r w:rsidRPr="00615793">
        <w:t>Следует принимать во внимание следующие комбинации лекарственного средства Гипнос</w:t>
      </w:r>
      <w:r w:rsidRPr="00615793">
        <w:rPr>
          <w:vertAlign w:val="superscript"/>
        </w:rPr>
        <w:t xml:space="preserve">® </w:t>
      </w:r>
      <w:r w:rsidRPr="00615793">
        <w:t>с:</w:t>
      </w:r>
    </w:p>
    <w:p w14:paraId="19F866FE" w14:textId="77777777" w:rsidR="00ED2530" w:rsidRPr="00615793" w:rsidRDefault="00ED2530" w:rsidP="00ED2530">
      <w:pPr>
        <w:jc w:val="both"/>
      </w:pPr>
      <w:r w:rsidRPr="00615793">
        <w:t xml:space="preserve">– атропином и </w:t>
      </w:r>
      <w:proofErr w:type="spellStart"/>
      <w:r w:rsidRPr="00615793">
        <w:t>атропиноподобными</w:t>
      </w:r>
      <w:proofErr w:type="spellEnd"/>
      <w:r w:rsidRPr="00615793">
        <w:t xml:space="preserve"> лекарственными средствами (</w:t>
      </w:r>
      <w:proofErr w:type="spellStart"/>
      <w:r w:rsidRPr="00615793">
        <w:t>имипраминовые</w:t>
      </w:r>
      <w:proofErr w:type="spellEnd"/>
      <w:r w:rsidRPr="00615793">
        <w:t xml:space="preserve"> антидепрессанты, антихолинергические </w:t>
      </w:r>
      <w:proofErr w:type="spellStart"/>
      <w:r w:rsidRPr="00615793">
        <w:t>противопаркинсонические</w:t>
      </w:r>
      <w:proofErr w:type="spellEnd"/>
      <w:r w:rsidRPr="00615793">
        <w:t xml:space="preserve"> лекарственные средства, </w:t>
      </w:r>
      <w:proofErr w:type="spellStart"/>
      <w:r w:rsidRPr="00615793">
        <w:t>атропиновые</w:t>
      </w:r>
      <w:proofErr w:type="spellEnd"/>
      <w:r w:rsidRPr="00615793">
        <w:t xml:space="preserve"> спазмолитические лекарственные средства, </w:t>
      </w:r>
      <w:proofErr w:type="spellStart"/>
      <w:r w:rsidRPr="00615793">
        <w:t>дизопирамид</w:t>
      </w:r>
      <w:proofErr w:type="spellEnd"/>
      <w:r w:rsidRPr="00615793">
        <w:t xml:space="preserve">, </w:t>
      </w:r>
      <w:proofErr w:type="spellStart"/>
      <w:r w:rsidRPr="00615793">
        <w:t>фенотиазиновые</w:t>
      </w:r>
      <w:proofErr w:type="spellEnd"/>
      <w:r w:rsidRPr="00615793">
        <w:t xml:space="preserve"> нейролептики) вследствие возникновения таких побочных эффектов, как задержка мочи, запор, сухость во рту;</w:t>
      </w:r>
    </w:p>
    <w:p w14:paraId="19F866FF" w14:textId="77777777" w:rsidR="00ED2530" w:rsidRPr="00615793" w:rsidRDefault="00ED2530" w:rsidP="00ED2530">
      <w:pPr>
        <w:jc w:val="both"/>
      </w:pPr>
      <w:r w:rsidRPr="00615793">
        <w:t xml:space="preserve">– другими антидепрессантами, влияющими на центральную нервную систему (производные морфина (обезболивающие средства, применяемые для лечения кашля и заместительной терапии), нейролептики; барбитураты, бензодиазепины; </w:t>
      </w:r>
      <w:proofErr w:type="spellStart"/>
      <w:r w:rsidRPr="00615793">
        <w:t>анксиолитики</w:t>
      </w:r>
      <w:proofErr w:type="spellEnd"/>
      <w:r w:rsidRPr="00615793">
        <w:t xml:space="preserve">, кроме бензодиазепинов; седативные антидепрессанты (амитриптилин, </w:t>
      </w:r>
      <w:proofErr w:type="spellStart"/>
      <w:r w:rsidRPr="00615793">
        <w:t>доксепин</w:t>
      </w:r>
      <w:proofErr w:type="spellEnd"/>
      <w:r w:rsidRPr="00615793">
        <w:t xml:space="preserve">, </w:t>
      </w:r>
      <w:proofErr w:type="spellStart"/>
      <w:r w:rsidRPr="00615793">
        <w:t>миансерин</w:t>
      </w:r>
      <w:proofErr w:type="spellEnd"/>
      <w:r w:rsidRPr="00615793">
        <w:t xml:space="preserve">, </w:t>
      </w:r>
      <w:proofErr w:type="spellStart"/>
      <w:r w:rsidRPr="00615793">
        <w:t>миртазапин</w:t>
      </w:r>
      <w:proofErr w:type="spellEnd"/>
      <w:r w:rsidRPr="00615793">
        <w:t xml:space="preserve">, </w:t>
      </w:r>
      <w:proofErr w:type="spellStart"/>
      <w:r w:rsidRPr="00615793">
        <w:t>тримипрамин</w:t>
      </w:r>
      <w:proofErr w:type="spellEnd"/>
      <w:r w:rsidRPr="00615793">
        <w:t>); седативные Н</w:t>
      </w:r>
      <w:r w:rsidRPr="00615793">
        <w:rPr>
          <w:vertAlign w:val="subscript"/>
        </w:rPr>
        <w:t>1</w:t>
      </w:r>
      <w:r w:rsidRPr="00615793">
        <w:t xml:space="preserve">-антигистаминные средства; антигипертензивные средства центрального действия; прочие: </w:t>
      </w:r>
      <w:proofErr w:type="spellStart"/>
      <w:r w:rsidRPr="00615793">
        <w:t>баклофен</w:t>
      </w:r>
      <w:proofErr w:type="spellEnd"/>
      <w:r w:rsidRPr="00615793">
        <w:t xml:space="preserve">, </w:t>
      </w:r>
      <w:proofErr w:type="spellStart"/>
      <w:r w:rsidRPr="00615793">
        <w:t>пизотифен</w:t>
      </w:r>
      <w:proofErr w:type="spellEnd"/>
      <w:r w:rsidRPr="00615793">
        <w:t>, талидомид) в результате усиления ее угнетения.</w:t>
      </w:r>
    </w:p>
    <w:p w14:paraId="19F86700" w14:textId="77777777" w:rsidR="00491C9E" w:rsidRPr="00615793" w:rsidRDefault="00491C9E" w:rsidP="002A1132">
      <w:pPr>
        <w:widowControl w:val="0"/>
        <w:rPr>
          <w:b/>
          <w:i/>
          <w:lang w:val="uk-UA" w:eastAsia="uk-UA"/>
        </w:rPr>
      </w:pPr>
    </w:p>
    <w:p w14:paraId="19F86701" w14:textId="77777777" w:rsidR="002A1132" w:rsidRPr="00615793" w:rsidRDefault="002A1132" w:rsidP="002A1132">
      <w:pPr>
        <w:widowControl w:val="0"/>
        <w:rPr>
          <w:b/>
          <w:i/>
        </w:rPr>
      </w:pPr>
      <w:r w:rsidRPr="00615793">
        <w:rPr>
          <w:b/>
          <w:i/>
        </w:rPr>
        <w:t>Особенности применения.</w:t>
      </w:r>
    </w:p>
    <w:p w14:paraId="19F86702" w14:textId="77777777" w:rsidR="00867648" w:rsidRPr="00615793" w:rsidRDefault="00867648" w:rsidP="00ED2530">
      <w:pPr>
        <w:jc w:val="both"/>
      </w:pPr>
      <w:r w:rsidRPr="00615793">
        <w:t>Бессонница может иметь разные причины, не требующие обязательного приема лекарства, поэтому перед началом применения лекарственного средства рекомендуется проконсультироваться с врачом.</w:t>
      </w:r>
    </w:p>
    <w:p w14:paraId="19F86703" w14:textId="77777777" w:rsidR="00ED2530" w:rsidRPr="00615793" w:rsidRDefault="00ED2530" w:rsidP="00ED2530">
      <w:pPr>
        <w:jc w:val="both"/>
      </w:pPr>
      <w:r w:rsidRPr="00615793">
        <w:t xml:space="preserve">Как и все снотворные или седативные средства, </w:t>
      </w:r>
      <w:proofErr w:type="spellStart"/>
      <w:r w:rsidRPr="00615793">
        <w:t>сукцинат</w:t>
      </w:r>
      <w:proofErr w:type="spellEnd"/>
      <w:r w:rsidRPr="00615793">
        <w:t xml:space="preserve"> </w:t>
      </w:r>
      <w:proofErr w:type="spellStart"/>
      <w:r w:rsidRPr="00615793">
        <w:t>доксиламина</w:t>
      </w:r>
      <w:proofErr w:type="spellEnd"/>
      <w:r w:rsidRPr="00615793">
        <w:t xml:space="preserve"> может обострять синдром ночного апноэ (увеличение количества и продолжительности остановок дыхания).</w:t>
      </w:r>
    </w:p>
    <w:p w14:paraId="19F86704" w14:textId="77777777" w:rsidR="00ED2530" w:rsidRPr="00615793" w:rsidRDefault="00ED2530" w:rsidP="00ED2530">
      <w:pPr>
        <w:jc w:val="both"/>
        <w:rPr>
          <w:b/>
        </w:rPr>
      </w:pPr>
      <w:r w:rsidRPr="00615793">
        <w:t>Н</w:t>
      </w:r>
      <w:r w:rsidRPr="00615793">
        <w:rPr>
          <w:vertAlign w:val="subscript"/>
        </w:rPr>
        <w:t>1</w:t>
      </w:r>
      <w:r w:rsidRPr="00615793">
        <w:t>-антигистаминные средства следует применять с осторожностью пациентам пожилого возраста из-за риска возникновения головокружения, что может увеличить риск падений (например, когда люди встают ночью) с последствиями, часто серьезными для данной категории пациентов.</w:t>
      </w:r>
    </w:p>
    <w:p w14:paraId="19F86705" w14:textId="77777777" w:rsidR="00ED2530" w:rsidRPr="00615793" w:rsidRDefault="00ED2530" w:rsidP="00ED2530">
      <w:pPr>
        <w:jc w:val="both"/>
      </w:pPr>
      <w:r w:rsidRPr="00615793">
        <w:t>Для предотвращения сонливости в течение дня следует помнить, что продолжительность сна после применения лекарственного средства должна быть не менее 7 часов.</w:t>
      </w:r>
    </w:p>
    <w:p w14:paraId="19F86706" w14:textId="77777777" w:rsidR="00ED2530" w:rsidRPr="00615793" w:rsidRDefault="00ED2530" w:rsidP="00ED2530">
      <w:pPr>
        <w:jc w:val="both"/>
      </w:pPr>
      <w:r w:rsidRPr="00615793">
        <w:t>При использовании лекарственного средства следует избегать приема алкоголя.</w:t>
      </w:r>
    </w:p>
    <w:p w14:paraId="19F86707" w14:textId="77777777" w:rsidR="0034574E" w:rsidRPr="00615793" w:rsidRDefault="0034574E" w:rsidP="0034574E">
      <w:pPr>
        <w:jc w:val="both"/>
        <w:rPr>
          <w:i/>
        </w:rPr>
      </w:pPr>
      <w:r w:rsidRPr="00615793">
        <w:t>Важная информация о вспомогательных веществах.</w:t>
      </w:r>
    </w:p>
    <w:p w14:paraId="19F86708" w14:textId="77777777" w:rsidR="00452370" w:rsidRPr="00615793" w:rsidRDefault="00452370" w:rsidP="00452370">
      <w:pPr>
        <w:widowControl w:val="0"/>
        <w:jc w:val="both"/>
      </w:pPr>
      <w:r w:rsidRPr="00615793">
        <w:t xml:space="preserve">Поскольку лекарственное средство содержит лактозу, пациентам с редкими наследственными формами непереносимости галактозы, недостаточностью </w:t>
      </w:r>
      <w:proofErr w:type="spellStart"/>
      <w:r w:rsidRPr="00615793">
        <w:t>лактазы</w:t>
      </w:r>
      <w:proofErr w:type="spellEnd"/>
      <w:r w:rsidRPr="00615793">
        <w:t xml:space="preserve"> или синдромом </w:t>
      </w:r>
      <w:proofErr w:type="spellStart"/>
      <w:r w:rsidRPr="00615793">
        <w:t>глюкозо-галактозной</w:t>
      </w:r>
      <w:proofErr w:type="spellEnd"/>
      <w:r w:rsidRPr="00615793">
        <w:t xml:space="preserve"> </w:t>
      </w:r>
      <w:proofErr w:type="spellStart"/>
      <w:r w:rsidRPr="00615793">
        <w:t>мальабсорбции</w:t>
      </w:r>
      <w:proofErr w:type="spellEnd"/>
      <w:r w:rsidRPr="00615793">
        <w:t xml:space="preserve"> не следует его применять.</w:t>
      </w:r>
    </w:p>
    <w:p w14:paraId="19F86709" w14:textId="77777777" w:rsidR="00452370" w:rsidRPr="00615793" w:rsidRDefault="00452370" w:rsidP="00452370">
      <w:pPr>
        <w:tabs>
          <w:tab w:val="left" w:pos="284"/>
        </w:tabs>
        <w:suppressAutoHyphens/>
        <w:autoSpaceDE w:val="0"/>
        <w:snapToGrid w:val="0"/>
        <w:jc w:val="both"/>
        <w:rPr>
          <w:rFonts w:eastAsia="Andale Sans UI"/>
          <w:kern w:val="2"/>
        </w:rPr>
      </w:pPr>
      <w:r w:rsidRPr="00615793">
        <w:t>Лекарственное средство содержит натрий, поэтому пациентам, применяющим натрий-контролируемую диету, следует соблюдать осторожность при его применении.</w:t>
      </w:r>
    </w:p>
    <w:p w14:paraId="19F8670A" w14:textId="77777777" w:rsidR="009536A1" w:rsidRPr="00615793" w:rsidRDefault="009536A1" w:rsidP="00167E19">
      <w:pPr>
        <w:rPr>
          <w:lang w:val="uk-UA"/>
        </w:rPr>
      </w:pPr>
    </w:p>
    <w:p w14:paraId="19F8670B" w14:textId="77777777" w:rsidR="00167E19" w:rsidRPr="00615793" w:rsidRDefault="00167E19" w:rsidP="00167E19">
      <w:pPr>
        <w:rPr>
          <w:i/>
        </w:rPr>
      </w:pPr>
      <w:r w:rsidRPr="00615793">
        <w:rPr>
          <w:i/>
        </w:rPr>
        <w:t>Применение в период беременности и кормления грудью.</w:t>
      </w:r>
    </w:p>
    <w:p w14:paraId="19F8670C" w14:textId="77777777" w:rsidR="00ED2530" w:rsidRPr="00615793" w:rsidRDefault="00D64EB3" w:rsidP="00ED2530">
      <w:r w:rsidRPr="00615793">
        <w:t>Лекарственное средство противопоказано в период беременности и кормления грудью.</w:t>
      </w:r>
    </w:p>
    <w:p w14:paraId="19F8670D" w14:textId="77777777" w:rsidR="002D7B4F" w:rsidRPr="00615793" w:rsidRDefault="002D7B4F" w:rsidP="002D7B4F">
      <w:pPr>
        <w:widowControl w:val="0"/>
        <w:rPr>
          <w:b/>
          <w:i/>
          <w:lang w:val="uk-UA"/>
        </w:rPr>
      </w:pPr>
    </w:p>
    <w:p w14:paraId="19F8670E" w14:textId="77777777" w:rsidR="002F698D" w:rsidRPr="00615793" w:rsidRDefault="002F698D" w:rsidP="002F698D">
      <w:pPr>
        <w:jc w:val="both"/>
        <w:rPr>
          <w:i/>
        </w:rPr>
      </w:pPr>
      <w:r w:rsidRPr="00615793">
        <w:rPr>
          <w:i/>
        </w:rPr>
        <w:t>Способность влиять на скорость реакции при управлении автотранспортом или работе с другими механизмами.</w:t>
      </w:r>
    </w:p>
    <w:p w14:paraId="19F8670F" w14:textId="77777777" w:rsidR="00ED2530" w:rsidRPr="00615793" w:rsidRDefault="00ED2530" w:rsidP="00ED2530">
      <w:pPr>
        <w:jc w:val="both"/>
      </w:pPr>
      <w:r w:rsidRPr="00615793">
        <w:t>Гипнос</w:t>
      </w:r>
      <w:r w:rsidRPr="00615793">
        <w:rPr>
          <w:vertAlign w:val="superscript"/>
        </w:rPr>
        <w:t>®</w:t>
      </w:r>
      <w:r w:rsidRPr="00615793">
        <w:t xml:space="preserve"> влияет на скорость психомоторных реакций (риск возникновения дневной сонливости), поэтому следует воздерживаться от управления автотранспортом или другими механизмами.</w:t>
      </w:r>
    </w:p>
    <w:p w14:paraId="19F86710" w14:textId="77777777" w:rsidR="002F698D" w:rsidRPr="00615793" w:rsidRDefault="002F698D" w:rsidP="002D7B4F">
      <w:pPr>
        <w:widowControl w:val="0"/>
        <w:rPr>
          <w:b/>
          <w:i/>
          <w:lang w:val="uk-UA"/>
        </w:rPr>
      </w:pPr>
    </w:p>
    <w:p w14:paraId="19F86711" w14:textId="77777777" w:rsidR="002D7B4F" w:rsidRPr="00615793" w:rsidRDefault="002D7B4F" w:rsidP="002D7B4F">
      <w:pPr>
        <w:widowControl w:val="0"/>
        <w:rPr>
          <w:b/>
          <w:i/>
        </w:rPr>
      </w:pPr>
      <w:r w:rsidRPr="00615793">
        <w:rPr>
          <w:b/>
          <w:i/>
        </w:rPr>
        <w:t>Способ применения и дозы.</w:t>
      </w:r>
    </w:p>
    <w:p w14:paraId="19F86712" w14:textId="77777777" w:rsidR="00ED2530" w:rsidRPr="00615793" w:rsidRDefault="00ED2530" w:rsidP="00ED2530">
      <w:r w:rsidRPr="00615793">
        <w:t>Для перорального применения. Применять за 15–30 минут до сна.</w:t>
      </w:r>
    </w:p>
    <w:p w14:paraId="19F86713" w14:textId="77777777" w:rsidR="00ED2530" w:rsidRPr="00615793" w:rsidRDefault="00ED2530" w:rsidP="00ED2530">
      <w:pPr>
        <w:jc w:val="both"/>
      </w:pPr>
      <w:r w:rsidRPr="00615793">
        <w:t>Рекомендуемая доза составляет 7,5–15 мг/</w:t>
      </w:r>
      <w:proofErr w:type="spellStart"/>
      <w:r w:rsidRPr="00615793">
        <w:t>сут</w:t>
      </w:r>
      <w:proofErr w:type="spellEnd"/>
      <w:r w:rsidRPr="00615793">
        <w:t xml:space="preserve"> (½–1 таблетка в сутки). При необходимости дозу можно увеличить до 30 мг/</w:t>
      </w:r>
      <w:proofErr w:type="spellStart"/>
      <w:r w:rsidRPr="00615793">
        <w:t>сут</w:t>
      </w:r>
      <w:proofErr w:type="spellEnd"/>
      <w:r w:rsidRPr="00615793">
        <w:t xml:space="preserve"> (2 таблетки в сутки).</w:t>
      </w:r>
    </w:p>
    <w:p w14:paraId="19F86714" w14:textId="77777777" w:rsidR="00ED2530" w:rsidRPr="00615793" w:rsidRDefault="00ED2530" w:rsidP="00ED2530">
      <w:pPr>
        <w:jc w:val="both"/>
      </w:pPr>
      <w:r w:rsidRPr="00615793">
        <w:t>Пациентам пожилого возраста и пациентам с почечной или печеночной недостаточностью рекомендуется снизить дозу.</w:t>
      </w:r>
    </w:p>
    <w:p w14:paraId="19F86715" w14:textId="77777777" w:rsidR="00ED2530" w:rsidRPr="00615793" w:rsidRDefault="00ED2530" w:rsidP="00ED2530">
      <w:r w:rsidRPr="00615793">
        <w:t xml:space="preserve">Продолжительность курса лечения составляет </w:t>
      </w:r>
      <w:proofErr w:type="gramStart"/>
      <w:r w:rsidRPr="00615793">
        <w:t>2-5</w:t>
      </w:r>
      <w:proofErr w:type="gramEnd"/>
      <w:r w:rsidRPr="00615793">
        <w:t xml:space="preserve"> дней.</w:t>
      </w:r>
    </w:p>
    <w:p w14:paraId="19F86716" w14:textId="77777777" w:rsidR="00ED2530" w:rsidRPr="00615793" w:rsidRDefault="00ED2530" w:rsidP="00ED2530">
      <w:pPr>
        <w:jc w:val="both"/>
      </w:pPr>
      <w:r w:rsidRPr="00615793">
        <w:t>Если бессонница сохраняется дольше 5 дней, необходимо проконсультироваться с врачом по поводу целесообразности дальнейшего применения лекарственного средства.</w:t>
      </w:r>
    </w:p>
    <w:p w14:paraId="19F86717" w14:textId="77777777" w:rsidR="00586DC5" w:rsidRPr="00615793" w:rsidRDefault="00586DC5" w:rsidP="002D7B4F">
      <w:pPr>
        <w:rPr>
          <w:b/>
          <w:i/>
          <w:lang w:val="uk-UA" w:eastAsia="uk-UA"/>
        </w:rPr>
      </w:pPr>
    </w:p>
    <w:p w14:paraId="19F86718" w14:textId="77777777" w:rsidR="005D27E3" w:rsidRPr="00615793" w:rsidRDefault="005D27E3" w:rsidP="005D27E3">
      <w:r w:rsidRPr="00615793">
        <w:rPr>
          <w:i/>
        </w:rPr>
        <w:t>Дети.</w:t>
      </w:r>
    </w:p>
    <w:p w14:paraId="19F86719" w14:textId="77777777" w:rsidR="00ED2530" w:rsidRPr="00615793" w:rsidRDefault="005D79A6" w:rsidP="00ED2530">
      <w:pPr>
        <w:jc w:val="both"/>
      </w:pPr>
      <w:r w:rsidRPr="00615793">
        <w:t>Лекарственное средство не применять детям до 18 лет.</w:t>
      </w:r>
    </w:p>
    <w:p w14:paraId="19F8671A" w14:textId="77777777" w:rsidR="007D0D0A" w:rsidRPr="00615793" w:rsidRDefault="007D0D0A" w:rsidP="005D27E3">
      <w:pPr>
        <w:rPr>
          <w:lang w:val="uk-UA"/>
        </w:rPr>
      </w:pPr>
    </w:p>
    <w:p w14:paraId="19F8671B" w14:textId="77777777" w:rsidR="005D27E3" w:rsidRPr="00615793" w:rsidRDefault="005D27E3" w:rsidP="005D27E3">
      <w:pPr>
        <w:rPr>
          <w:b/>
          <w:i/>
        </w:rPr>
      </w:pPr>
      <w:r w:rsidRPr="00615793">
        <w:rPr>
          <w:b/>
          <w:i/>
        </w:rPr>
        <w:t>Передозировка.</w:t>
      </w:r>
    </w:p>
    <w:p w14:paraId="19F8671C" w14:textId="77777777" w:rsidR="005D79A6" w:rsidRPr="00615793" w:rsidRDefault="00ED2530" w:rsidP="00ED2530">
      <w:pPr>
        <w:jc w:val="both"/>
      </w:pPr>
      <w:r w:rsidRPr="00615793">
        <w:rPr>
          <w:i/>
        </w:rPr>
        <w:t>Симптомы.</w:t>
      </w:r>
      <w:r w:rsidRPr="00615793">
        <w:t xml:space="preserve"> </w:t>
      </w:r>
    </w:p>
    <w:p w14:paraId="19F8671D" w14:textId="77777777" w:rsidR="00ED2530" w:rsidRPr="00615793" w:rsidRDefault="005D79A6" w:rsidP="00ED2530">
      <w:pPr>
        <w:jc w:val="both"/>
      </w:pPr>
      <w:r w:rsidRPr="00615793">
        <w:t xml:space="preserve">Первыми признаками острого отравления являются сонливость и проявления антихолинергических эффектов: возбуждение, расширение зрачков, паралич аккомодации, сухость во рту, краснота лица и шеи, гипертермия, синусовая тахикардия. Делирий, галлюцинации и </w:t>
      </w:r>
      <w:proofErr w:type="spellStart"/>
      <w:r w:rsidRPr="00615793">
        <w:t>атетозные</w:t>
      </w:r>
      <w:proofErr w:type="spellEnd"/>
      <w:r w:rsidRPr="00615793">
        <w:t xml:space="preserve"> движения чаще наблюдаются у детей, иногда они являются предвестниками судорог – редких осложнений тяжелого отравления. Даже если судороги не возникают, острое отравление </w:t>
      </w:r>
      <w:proofErr w:type="spellStart"/>
      <w:r w:rsidRPr="00615793">
        <w:t>доксиламином</w:t>
      </w:r>
      <w:proofErr w:type="spellEnd"/>
      <w:r w:rsidRPr="00615793">
        <w:t xml:space="preserve"> иногда влечет за собой </w:t>
      </w:r>
      <w:proofErr w:type="spellStart"/>
      <w:r w:rsidRPr="00615793">
        <w:t>рабдомиолиз</w:t>
      </w:r>
      <w:proofErr w:type="spellEnd"/>
      <w:r w:rsidRPr="00615793">
        <w:t xml:space="preserve">, который может осложниться острой почечной недостаточностью. Такое мышечное расстройство распространено, что требует проведения систематического скрининга путем измерения активности </w:t>
      </w:r>
      <w:proofErr w:type="spellStart"/>
      <w:r w:rsidRPr="00615793">
        <w:t>креатинфосфокиназы</w:t>
      </w:r>
      <w:proofErr w:type="spellEnd"/>
      <w:r w:rsidRPr="00615793">
        <w:t>.</w:t>
      </w:r>
    </w:p>
    <w:p w14:paraId="19F8671E" w14:textId="77777777" w:rsidR="005D79A6" w:rsidRPr="00615793" w:rsidRDefault="00ED2530" w:rsidP="00ED2530">
      <w:pPr>
        <w:jc w:val="both"/>
      </w:pPr>
      <w:r w:rsidRPr="00615793">
        <w:rPr>
          <w:i/>
        </w:rPr>
        <w:t>Лечение.</w:t>
      </w:r>
      <w:r w:rsidRPr="00615793">
        <w:t xml:space="preserve"> </w:t>
      </w:r>
    </w:p>
    <w:p w14:paraId="19F8671F" w14:textId="77777777" w:rsidR="00ED2530" w:rsidRPr="00615793" w:rsidRDefault="005D79A6" w:rsidP="00ED2530">
      <w:pPr>
        <w:jc w:val="both"/>
      </w:pPr>
      <w:r w:rsidRPr="00615793">
        <w:t>Прием активированного угля (50 г для взрослых и 1 г/кг – для детей), при необходимости проводят симптоматическое лечение. По показаниям назначают противосудорожные средства и искусственную вентиляцию легких.</w:t>
      </w:r>
    </w:p>
    <w:p w14:paraId="19F86720" w14:textId="77777777" w:rsidR="005D27E3" w:rsidRPr="00615793" w:rsidRDefault="005D27E3" w:rsidP="005D27E3">
      <w:pPr>
        <w:rPr>
          <w:lang w:val="uk-UA"/>
        </w:rPr>
      </w:pPr>
    </w:p>
    <w:p w14:paraId="19F86721" w14:textId="77777777" w:rsidR="002D7B4F" w:rsidRPr="00615793" w:rsidRDefault="005D27E3" w:rsidP="002D7B4F">
      <w:pPr>
        <w:rPr>
          <w:b/>
          <w:i/>
        </w:rPr>
      </w:pPr>
      <w:r w:rsidRPr="00615793">
        <w:rPr>
          <w:b/>
          <w:i/>
        </w:rPr>
        <w:t>Побочные реакции.</w:t>
      </w:r>
    </w:p>
    <w:p w14:paraId="19F86722" w14:textId="77777777" w:rsidR="004E3F99" w:rsidRPr="00615793" w:rsidRDefault="004E3F99" w:rsidP="004E3F99">
      <w:pPr>
        <w:jc w:val="both"/>
      </w:pPr>
      <w:r w:rsidRPr="00615793">
        <w:t>Утром после вечернего приема лекарственного средства может возникать замедление реакций и головокружение, поэтому для предотвращения падения необходимо избегать резких движений. Редко развиваются антихолинергические эффекты: запор, сухость во рту, нарушение аккомодации, сильное сердцебиение, задержка мочеиспускания.</w:t>
      </w:r>
    </w:p>
    <w:p w14:paraId="19F86723" w14:textId="77777777" w:rsidR="004E3F99" w:rsidRPr="00615793" w:rsidRDefault="004E3F99" w:rsidP="004E3F99">
      <w:r w:rsidRPr="00615793">
        <w:t>Дневная сонливость: при развитии такого эффекта необходимо снизить дозу.</w:t>
      </w:r>
    </w:p>
    <w:p w14:paraId="19F86724" w14:textId="77777777" w:rsidR="004E3F99" w:rsidRPr="00615793" w:rsidRDefault="004E3F99" w:rsidP="004E3F99">
      <w:r w:rsidRPr="00615793">
        <w:t>Возможны аллергические реакции, включая кожную сыпь, зуд.</w:t>
      </w:r>
    </w:p>
    <w:p w14:paraId="19F86725" w14:textId="77777777" w:rsidR="00607132" w:rsidRPr="00615793" w:rsidRDefault="00607132" w:rsidP="00607132">
      <w:pPr>
        <w:jc w:val="both"/>
        <w:rPr>
          <w:iCs/>
        </w:rPr>
      </w:pPr>
      <w:r w:rsidRPr="00615793">
        <w:rPr>
          <w:bCs/>
          <w:iCs/>
          <w:u w:val="single"/>
        </w:rPr>
        <w:t>Сообщение о подозреваемых побочных реакциях.</w:t>
      </w:r>
    </w:p>
    <w:p w14:paraId="19F86726" w14:textId="77777777" w:rsidR="00607132" w:rsidRPr="00615793" w:rsidRDefault="00607132" w:rsidP="00607132">
      <w:pPr>
        <w:jc w:val="both"/>
        <w:rPr>
          <w:i/>
          <w:iCs/>
        </w:rPr>
      </w:pPr>
      <w:r w:rsidRPr="00615793">
        <w:t>Сообщения о подозреваемых побочных реакциях после регистрации лекарственного средства являются важной процедурой. Это позволяет продолжать мониторинг соотношения польза/риск для соответствующего лекарственного средства. Медицинским работникам необходимо сообщать о любых подозреваемых побочных реакциях через национальную систему сообщений.</w:t>
      </w:r>
    </w:p>
    <w:p w14:paraId="19F86727" w14:textId="77777777" w:rsidR="00214AAD" w:rsidRPr="00615793" w:rsidRDefault="00214AAD" w:rsidP="002D7B4F">
      <w:pPr>
        <w:rPr>
          <w:lang w:val="uk-UA"/>
        </w:rPr>
      </w:pPr>
    </w:p>
    <w:p w14:paraId="19F86728" w14:textId="77777777" w:rsidR="004E3F99" w:rsidRPr="00615793" w:rsidRDefault="005D27E3" w:rsidP="004E3F99">
      <w:pPr>
        <w:suppressAutoHyphens/>
      </w:pPr>
      <w:r w:rsidRPr="00615793">
        <w:rPr>
          <w:b/>
          <w:i/>
        </w:rPr>
        <w:t xml:space="preserve">Срок годности. </w:t>
      </w:r>
      <w:r w:rsidRPr="00615793">
        <w:t>2 года.</w:t>
      </w:r>
    </w:p>
    <w:p w14:paraId="19F86729" w14:textId="77777777" w:rsidR="002D7B4F" w:rsidRPr="00615793" w:rsidRDefault="002D7B4F" w:rsidP="002D7B4F">
      <w:pPr>
        <w:rPr>
          <w:lang w:val="uk-UA"/>
        </w:rPr>
      </w:pPr>
    </w:p>
    <w:p w14:paraId="19F8672A" w14:textId="77777777" w:rsidR="005D27E3" w:rsidRPr="00615793" w:rsidRDefault="005D27E3" w:rsidP="005D27E3">
      <w:pPr>
        <w:jc w:val="both"/>
        <w:rPr>
          <w:b/>
        </w:rPr>
      </w:pPr>
      <w:r w:rsidRPr="00615793">
        <w:rPr>
          <w:b/>
        </w:rPr>
        <w:t>Условия хранения.</w:t>
      </w:r>
    </w:p>
    <w:p w14:paraId="19F8672B" w14:textId="77777777" w:rsidR="00A102F3" w:rsidRPr="00615793" w:rsidRDefault="00A102F3" w:rsidP="00A102F3">
      <w:pPr>
        <w:widowControl w:val="0"/>
        <w:jc w:val="both"/>
      </w:pPr>
      <w:r w:rsidRPr="00615793">
        <w:t>Хранить в оригинальной упаковке при температуре не выше 25°С. Хранить в недоступном для детей месте.</w:t>
      </w:r>
    </w:p>
    <w:p w14:paraId="19F8672C" w14:textId="77777777" w:rsidR="0071543C" w:rsidRPr="00615793" w:rsidRDefault="0071543C" w:rsidP="005D27E3">
      <w:pPr>
        <w:rPr>
          <w:lang w:val="uk-UA"/>
        </w:rPr>
      </w:pPr>
    </w:p>
    <w:p w14:paraId="19F8672D" w14:textId="77777777" w:rsidR="00C92FE6" w:rsidRPr="00615793" w:rsidRDefault="0091728E" w:rsidP="00B16656">
      <w:pPr>
        <w:jc w:val="both"/>
        <w:rPr>
          <w:b/>
        </w:rPr>
      </w:pPr>
      <w:r w:rsidRPr="00615793">
        <w:rPr>
          <w:b/>
        </w:rPr>
        <w:t>Упаковка.</w:t>
      </w:r>
    </w:p>
    <w:p w14:paraId="19F8672E" w14:textId="77777777" w:rsidR="00E0102B" w:rsidRPr="00615793" w:rsidRDefault="00E0102B" w:rsidP="00E0102B">
      <w:pPr>
        <w:jc w:val="both"/>
      </w:pPr>
      <w:r w:rsidRPr="00615793">
        <w:t>По 10 таблеток в контурной ячеистой упаковке; по 1 или по 2 контурных ячеистых упаковки в пачке.</w:t>
      </w:r>
    </w:p>
    <w:p w14:paraId="19F8672F" w14:textId="77777777" w:rsidR="00B4003F" w:rsidRPr="00615793" w:rsidRDefault="00B4003F" w:rsidP="00B42046">
      <w:pPr>
        <w:jc w:val="both"/>
        <w:rPr>
          <w:lang w:val="uk-UA"/>
        </w:rPr>
      </w:pPr>
    </w:p>
    <w:p w14:paraId="19F86730" w14:textId="77777777" w:rsidR="009E5821" w:rsidRPr="00615793" w:rsidRDefault="002D7B4F" w:rsidP="004E3F99">
      <w:pPr>
        <w:suppressAutoHyphens/>
        <w:rPr>
          <w:b/>
        </w:rPr>
      </w:pPr>
      <w:r w:rsidRPr="00615793">
        <w:rPr>
          <w:b/>
        </w:rPr>
        <w:t xml:space="preserve">Категория отпуска. </w:t>
      </w:r>
    </w:p>
    <w:p w14:paraId="19F86731" w14:textId="77777777" w:rsidR="009E5821" w:rsidRPr="00615793" w:rsidRDefault="00E0102B" w:rsidP="009E5821">
      <w:pPr>
        <w:widowControl w:val="0"/>
        <w:tabs>
          <w:tab w:val="left" w:pos="5954"/>
        </w:tabs>
        <w:jc w:val="both"/>
      </w:pPr>
      <w:r w:rsidRPr="00615793">
        <w:t>Таблетки, покрытые оболочкой №10 (10х1) – без рецепта.</w:t>
      </w:r>
    </w:p>
    <w:p w14:paraId="19F86732" w14:textId="77777777" w:rsidR="009E5821" w:rsidRPr="00615793" w:rsidRDefault="00FC2556" w:rsidP="009E5821">
      <w:pPr>
        <w:widowControl w:val="0"/>
        <w:tabs>
          <w:tab w:val="left" w:pos="5954"/>
        </w:tabs>
        <w:jc w:val="both"/>
      </w:pPr>
      <w:r w:rsidRPr="00615793">
        <w:t>Таблетки, покрытые оболочкой №20 (10х2) – по рецепту.</w:t>
      </w:r>
    </w:p>
    <w:p w14:paraId="19F86733" w14:textId="77777777" w:rsidR="002D7B4F" w:rsidRPr="00615793" w:rsidRDefault="002D7B4F" w:rsidP="002D7B4F">
      <w:pPr>
        <w:rPr>
          <w:lang w:val="uk-UA"/>
        </w:rPr>
      </w:pPr>
    </w:p>
    <w:p w14:paraId="19F86734" w14:textId="77777777" w:rsidR="00B16656" w:rsidRPr="00615793" w:rsidRDefault="00B16656" w:rsidP="00B16656">
      <w:pPr>
        <w:jc w:val="both"/>
        <w:rPr>
          <w:b/>
        </w:rPr>
      </w:pPr>
      <w:r w:rsidRPr="00615793">
        <w:rPr>
          <w:b/>
        </w:rPr>
        <w:t xml:space="preserve">Производитель </w:t>
      </w:r>
      <w:r w:rsidRPr="00615793">
        <w:t xml:space="preserve">ЗАО «Фармацевтическая </w:t>
      </w:r>
      <w:r w:rsidR="00615793" w:rsidRPr="00615793">
        <w:t>фирма «Дарница»</w:t>
      </w:r>
      <w:r w:rsidRPr="00615793">
        <w:t>.</w:t>
      </w:r>
    </w:p>
    <w:p w14:paraId="19F86735" w14:textId="77777777" w:rsidR="00B16656" w:rsidRPr="00615793" w:rsidRDefault="00B16656" w:rsidP="00B16656">
      <w:pPr>
        <w:jc w:val="both"/>
        <w:rPr>
          <w:b/>
          <w:lang w:val="uk-UA"/>
        </w:rPr>
      </w:pPr>
    </w:p>
    <w:p w14:paraId="19F86736" w14:textId="77777777" w:rsidR="005D27E3" w:rsidRPr="00615793" w:rsidRDefault="005D27E3" w:rsidP="005D27E3">
      <w:pPr>
        <w:jc w:val="both"/>
        <w:rPr>
          <w:b/>
          <w:bCs/>
        </w:rPr>
      </w:pPr>
      <w:r w:rsidRPr="00615793">
        <w:rPr>
          <w:b/>
          <w:bCs/>
        </w:rPr>
        <w:t>Местонахождение производителя и адрес места осуществления его деятельности.</w:t>
      </w:r>
    </w:p>
    <w:p w14:paraId="19F86737" w14:textId="77777777" w:rsidR="004B6256" w:rsidRPr="00615793" w:rsidRDefault="00B16656" w:rsidP="004B6256">
      <w:pPr>
        <w:jc w:val="both"/>
      </w:pPr>
      <w:r w:rsidRPr="00615793">
        <w:t>Украина, 02093, г. Киев, ул. Бориспольская, 13.</w:t>
      </w:r>
    </w:p>
    <w:p w14:paraId="19F86738" w14:textId="77777777" w:rsidR="004B6256" w:rsidRPr="00615793" w:rsidRDefault="004B6256" w:rsidP="004B6256">
      <w:pPr>
        <w:jc w:val="both"/>
        <w:rPr>
          <w:lang w:val="uk-UA"/>
        </w:rPr>
      </w:pPr>
    </w:p>
    <w:p w14:paraId="19F86739" w14:textId="77777777" w:rsidR="00BC4634" w:rsidRPr="00615793" w:rsidRDefault="00B16656" w:rsidP="00615793">
      <w:pPr>
        <w:jc w:val="both"/>
        <w:rPr>
          <w:b/>
        </w:rPr>
      </w:pPr>
      <w:r w:rsidRPr="00615793">
        <w:rPr>
          <w:b/>
        </w:rPr>
        <w:t xml:space="preserve">Дата последнего посещения. </w:t>
      </w:r>
      <w:r w:rsidRPr="00615793">
        <w:t>09.06.2021.</w:t>
      </w:r>
    </w:p>
    <w:sectPr w:rsidR="00BC4634" w:rsidRPr="00615793" w:rsidSect="00AE77A4">
      <w:footerReference w:type="default" r:id="rId10"/>
      <w:pgSz w:w="11909" w:h="16834"/>
      <w:pgMar w:top="567" w:right="851" w:bottom="568" w:left="1418" w:header="568" w:footer="25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98A69" w14:textId="77777777" w:rsidR="000342E6" w:rsidRDefault="000342E6" w:rsidP="005237BD">
      <w:r>
        <w:separator/>
      </w:r>
    </w:p>
  </w:endnote>
  <w:endnote w:type="continuationSeparator" w:id="0">
    <w:p w14:paraId="3FA16460" w14:textId="77777777" w:rsidR="000342E6" w:rsidRDefault="000342E6" w:rsidP="0052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673E" w14:textId="77777777" w:rsidR="005237BD" w:rsidRDefault="00226BA6" w:rsidP="00226BA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1579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E6BA8" w14:textId="77777777" w:rsidR="000342E6" w:rsidRDefault="000342E6" w:rsidP="005237BD">
      <w:r>
        <w:separator/>
      </w:r>
    </w:p>
  </w:footnote>
  <w:footnote w:type="continuationSeparator" w:id="0">
    <w:p w14:paraId="608901EA" w14:textId="77777777" w:rsidR="000342E6" w:rsidRDefault="000342E6" w:rsidP="00523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3EAB"/>
    <w:multiLevelType w:val="hybridMultilevel"/>
    <w:tmpl w:val="FE3E1BA4"/>
    <w:lvl w:ilvl="0" w:tplc="0C3A7C68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2515EA"/>
    <w:multiLevelType w:val="hybridMultilevel"/>
    <w:tmpl w:val="D7880D04"/>
    <w:lvl w:ilvl="0" w:tplc="E75C72F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500DA"/>
    <w:multiLevelType w:val="hybridMultilevel"/>
    <w:tmpl w:val="9014C4EA"/>
    <w:lvl w:ilvl="0" w:tplc="E75C72F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60D65"/>
    <w:multiLevelType w:val="hybridMultilevel"/>
    <w:tmpl w:val="34949384"/>
    <w:lvl w:ilvl="0" w:tplc="5C9C202A">
      <w:start w:val="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213AC"/>
    <w:multiLevelType w:val="singleLevel"/>
    <w:tmpl w:val="E1040FF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5519"/>
    <w:rsid w:val="0000760F"/>
    <w:rsid w:val="00013A33"/>
    <w:rsid w:val="000148BE"/>
    <w:rsid w:val="00032933"/>
    <w:rsid w:val="000342E6"/>
    <w:rsid w:val="00044700"/>
    <w:rsid w:val="000453DF"/>
    <w:rsid w:val="00055BE5"/>
    <w:rsid w:val="0005696A"/>
    <w:rsid w:val="000812DE"/>
    <w:rsid w:val="000822AE"/>
    <w:rsid w:val="000826ED"/>
    <w:rsid w:val="00082F39"/>
    <w:rsid w:val="00092333"/>
    <w:rsid w:val="000A21DA"/>
    <w:rsid w:val="000A4732"/>
    <w:rsid w:val="000B7AD2"/>
    <w:rsid w:val="000C126B"/>
    <w:rsid w:val="000C4D08"/>
    <w:rsid w:val="000E7711"/>
    <w:rsid w:val="000F4149"/>
    <w:rsid w:val="001248A6"/>
    <w:rsid w:val="00125E3F"/>
    <w:rsid w:val="001347D1"/>
    <w:rsid w:val="0014028A"/>
    <w:rsid w:val="001403FC"/>
    <w:rsid w:val="00153D18"/>
    <w:rsid w:val="00160F0E"/>
    <w:rsid w:val="00167E19"/>
    <w:rsid w:val="00185F2F"/>
    <w:rsid w:val="001876DC"/>
    <w:rsid w:val="001A24F4"/>
    <w:rsid w:val="001A5F26"/>
    <w:rsid w:val="001C2C3D"/>
    <w:rsid w:val="001C6861"/>
    <w:rsid w:val="001D0B0D"/>
    <w:rsid w:val="001D218D"/>
    <w:rsid w:val="001D7699"/>
    <w:rsid w:val="001E4612"/>
    <w:rsid w:val="001F4A9A"/>
    <w:rsid w:val="00214AAD"/>
    <w:rsid w:val="002174B8"/>
    <w:rsid w:val="002214C6"/>
    <w:rsid w:val="00226BA6"/>
    <w:rsid w:val="00233B0D"/>
    <w:rsid w:val="00236F9B"/>
    <w:rsid w:val="00245E48"/>
    <w:rsid w:val="00260082"/>
    <w:rsid w:val="002704CD"/>
    <w:rsid w:val="00275784"/>
    <w:rsid w:val="0028487E"/>
    <w:rsid w:val="00287287"/>
    <w:rsid w:val="00287977"/>
    <w:rsid w:val="002A1132"/>
    <w:rsid w:val="002A2BCC"/>
    <w:rsid w:val="002B0BF8"/>
    <w:rsid w:val="002B4EB4"/>
    <w:rsid w:val="002D7B4F"/>
    <w:rsid w:val="002E4A19"/>
    <w:rsid w:val="002F698D"/>
    <w:rsid w:val="002F731A"/>
    <w:rsid w:val="003164FC"/>
    <w:rsid w:val="00320611"/>
    <w:rsid w:val="00323E6A"/>
    <w:rsid w:val="00331EF6"/>
    <w:rsid w:val="00340740"/>
    <w:rsid w:val="00342381"/>
    <w:rsid w:val="0034574E"/>
    <w:rsid w:val="003466EE"/>
    <w:rsid w:val="0036758E"/>
    <w:rsid w:val="00370BDD"/>
    <w:rsid w:val="00371B6B"/>
    <w:rsid w:val="00393ED5"/>
    <w:rsid w:val="003C2867"/>
    <w:rsid w:val="003D6DAB"/>
    <w:rsid w:val="003E3486"/>
    <w:rsid w:val="003F319D"/>
    <w:rsid w:val="004061BC"/>
    <w:rsid w:val="004136EF"/>
    <w:rsid w:val="004212EC"/>
    <w:rsid w:val="00435B55"/>
    <w:rsid w:val="00443076"/>
    <w:rsid w:val="00451646"/>
    <w:rsid w:val="00452370"/>
    <w:rsid w:val="004773DA"/>
    <w:rsid w:val="00491C9E"/>
    <w:rsid w:val="00495FAB"/>
    <w:rsid w:val="004A6854"/>
    <w:rsid w:val="004B35C8"/>
    <w:rsid w:val="004B6256"/>
    <w:rsid w:val="004D2127"/>
    <w:rsid w:val="004E3F99"/>
    <w:rsid w:val="004F1E93"/>
    <w:rsid w:val="005124AF"/>
    <w:rsid w:val="005131D8"/>
    <w:rsid w:val="00514C4B"/>
    <w:rsid w:val="005237BD"/>
    <w:rsid w:val="00540758"/>
    <w:rsid w:val="00553C65"/>
    <w:rsid w:val="00566781"/>
    <w:rsid w:val="00573191"/>
    <w:rsid w:val="00586DC5"/>
    <w:rsid w:val="00591CD4"/>
    <w:rsid w:val="00593E55"/>
    <w:rsid w:val="005A5139"/>
    <w:rsid w:val="005A549E"/>
    <w:rsid w:val="005D1D0C"/>
    <w:rsid w:val="005D27E3"/>
    <w:rsid w:val="005D79A6"/>
    <w:rsid w:val="005E2B86"/>
    <w:rsid w:val="005E30C1"/>
    <w:rsid w:val="005E439D"/>
    <w:rsid w:val="005E43A6"/>
    <w:rsid w:val="005E45E7"/>
    <w:rsid w:val="005E5D66"/>
    <w:rsid w:val="0060523C"/>
    <w:rsid w:val="00607132"/>
    <w:rsid w:val="00607BBC"/>
    <w:rsid w:val="00611942"/>
    <w:rsid w:val="00615793"/>
    <w:rsid w:val="00625EF1"/>
    <w:rsid w:val="00630AFD"/>
    <w:rsid w:val="00630FDD"/>
    <w:rsid w:val="0064500E"/>
    <w:rsid w:val="0065023F"/>
    <w:rsid w:val="00663974"/>
    <w:rsid w:val="006644EB"/>
    <w:rsid w:val="00675F3F"/>
    <w:rsid w:val="00691AAE"/>
    <w:rsid w:val="00691DA6"/>
    <w:rsid w:val="006E2534"/>
    <w:rsid w:val="006F06BC"/>
    <w:rsid w:val="006F725B"/>
    <w:rsid w:val="006F7480"/>
    <w:rsid w:val="006F7BA2"/>
    <w:rsid w:val="00704A6B"/>
    <w:rsid w:val="00704E42"/>
    <w:rsid w:val="0071211E"/>
    <w:rsid w:val="0071543C"/>
    <w:rsid w:val="0072099E"/>
    <w:rsid w:val="007257EE"/>
    <w:rsid w:val="00740747"/>
    <w:rsid w:val="00754DBA"/>
    <w:rsid w:val="00756AB3"/>
    <w:rsid w:val="00760CB6"/>
    <w:rsid w:val="00762697"/>
    <w:rsid w:val="00781B6F"/>
    <w:rsid w:val="00785FF2"/>
    <w:rsid w:val="007A0F24"/>
    <w:rsid w:val="007A3721"/>
    <w:rsid w:val="007C2B51"/>
    <w:rsid w:val="007D0D0A"/>
    <w:rsid w:val="007E30F1"/>
    <w:rsid w:val="007E65F3"/>
    <w:rsid w:val="007F1E58"/>
    <w:rsid w:val="007F4248"/>
    <w:rsid w:val="007F73E2"/>
    <w:rsid w:val="00801DD9"/>
    <w:rsid w:val="008032BC"/>
    <w:rsid w:val="00805D9F"/>
    <w:rsid w:val="008106F2"/>
    <w:rsid w:val="00811592"/>
    <w:rsid w:val="00812D35"/>
    <w:rsid w:val="00815715"/>
    <w:rsid w:val="00833337"/>
    <w:rsid w:val="00836435"/>
    <w:rsid w:val="00867648"/>
    <w:rsid w:val="00887A58"/>
    <w:rsid w:val="008925DF"/>
    <w:rsid w:val="008E0319"/>
    <w:rsid w:val="008E14C5"/>
    <w:rsid w:val="008F11B1"/>
    <w:rsid w:val="008F780C"/>
    <w:rsid w:val="00912871"/>
    <w:rsid w:val="009143AF"/>
    <w:rsid w:val="0091485A"/>
    <w:rsid w:val="0091728E"/>
    <w:rsid w:val="00922558"/>
    <w:rsid w:val="0092270B"/>
    <w:rsid w:val="00930448"/>
    <w:rsid w:val="00934A5D"/>
    <w:rsid w:val="00937E8E"/>
    <w:rsid w:val="009536A1"/>
    <w:rsid w:val="0095487D"/>
    <w:rsid w:val="009708E0"/>
    <w:rsid w:val="0098614F"/>
    <w:rsid w:val="009E5821"/>
    <w:rsid w:val="00A01324"/>
    <w:rsid w:val="00A102F3"/>
    <w:rsid w:val="00A24CCA"/>
    <w:rsid w:val="00A37798"/>
    <w:rsid w:val="00A4062E"/>
    <w:rsid w:val="00A45E29"/>
    <w:rsid w:val="00A51733"/>
    <w:rsid w:val="00A55D43"/>
    <w:rsid w:val="00A607B1"/>
    <w:rsid w:val="00A66250"/>
    <w:rsid w:val="00A7264B"/>
    <w:rsid w:val="00A7774C"/>
    <w:rsid w:val="00A87A16"/>
    <w:rsid w:val="00A920B4"/>
    <w:rsid w:val="00A96A90"/>
    <w:rsid w:val="00AA6ED8"/>
    <w:rsid w:val="00AB0C57"/>
    <w:rsid w:val="00AB14A9"/>
    <w:rsid w:val="00AC73DF"/>
    <w:rsid w:val="00AD57E9"/>
    <w:rsid w:val="00AD6E28"/>
    <w:rsid w:val="00AE0CD3"/>
    <w:rsid w:val="00AE77A4"/>
    <w:rsid w:val="00AF4FF0"/>
    <w:rsid w:val="00AF61B8"/>
    <w:rsid w:val="00B0631E"/>
    <w:rsid w:val="00B11795"/>
    <w:rsid w:val="00B16656"/>
    <w:rsid w:val="00B16DA3"/>
    <w:rsid w:val="00B321DF"/>
    <w:rsid w:val="00B4003F"/>
    <w:rsid w:val="00B40DF8"/>
    <w:rsid w:val="00B42046"/>
    <w:rsid w:val="00B4773E"/>
    <w:rsid w:val="00B5352E"/>
    <w:rsid w:val="00B63D0D"/>
    <w:rsid w:val="00B816BC"/>
    <w:rsid w:val="00B83B19"/>
    <w:rsid w:val="00BB2422"/>
    <w:rsid w:val="00BB5188"/>
    <w:rsid w:val="00BB6A55"/>
    <w:rsid w:val="00BC431C"/>
    <w:rsid w:val="00BC4634"/>
    <w:rsid w:val="00BD1A2C"/>
    <w:rsid w:val="00BD1FAD"/>
    <w:rsid w:val="00BE4EB8"/>
    <w:rsid w:val="00BE5403"/>
    <w:rsid w:val="00BF43C6"/>
    <w:rsid w:val="00BF5B15"/>
    <w:rsid w:val="00C15129"/>
    <w:rsid w:val="00C22E53"/>
    <w:rsid w:val="00C32622"/>
    <w:rsid w:val="00C522D6"/>
    <w:rsid w:val="00C64ABF"/>
    <w:rsid w:val="00C766E6"/>
    <w:rsid w:val="00C90E73"/>
    <w:rsid w:val="00C92FE6"/>
    <w:rsid w:val="00CA3203"/>
    <w:rsid w:val="00CA7F1E"/>
    <w:rsid w:val="00CB435B"/>
    <w:rsid w:val="00CC3E8C"/>
    <w:rsid w:val="00CD4E43"/>
    <w:rsid w:val="00D01C55"/>
    <w:rsid w:val="00D061AE"/>
    <w:rsid w:val="00D120D4"/>
    <w:rsid w:val="00D13417"/>
    <w:rsid w:val="00D20235"/>
    <w:rsid w:val="00D20E43"/>
    <w:rsid w:val="00D51F89"/>
    <w:rsid w:val="00D55E26"/>
    <w:rsid w:val="00D60C6C"/>
    <w:rsid w:val="00D64EB3"/>
    <w:rsid w:val="00D72C19"/>
    <w:rsid w:val="00DC2F33"/>
    <w:rsid w:val="00DD4463"/>
    <w:rsid w:val="00DD48AD"/>
    <w:rsid w:val="00E0102B"/>
    <w:rsid w:val="00E05698"/>
    <w:rsid w:val="00E15519"/>
    <w:rsid w:val="00E16AFB"/>
    <w:rsid w:val="00E316DB"/>
    <w:rsid w:val="00E331C8"/>
    <w:rsid w:val="00E3629F"/>
    <w:rsid w:val="00E37507"/>
    <w:rsid w:val="00E54580"/>
    <w:rsid w:val="00E6039D"/>
    <w:rsid w:val="00E647B2"/>
    <w:rsid w:val="00E72B0D"/>
    <w:rsid w:val="00E76B64"/>
    <w:rsid w:val="00E928DD"/>
    <w:rsid w:val="00EA110F"/>
    <w:rsid w:val="00EB415F"/>
    <w:rsid w:val="00EC1EE9"/>
    <w:rsid w:val="00EC4A99"/>
    <w:rsid w:val="00ED2530"/>
    <w:rsid w:val="00ED5D57"/>
    <w:rsid w:val="00F007B5"/>
    <w:rsid w:val="00F0721A"/>
    <w:rsid w:val="00F25A23"/>
    <w:rsid w:val="00F40603"/>
    <w:rsid w:val="00F60DB0"/>
    <w:rsid w:val="00F712AD"/>
    <w:rsid w:val="00F75410"/>
    <w:rsid w:val="00F76943"/>
    <w:rsid w:val="00F85792"/>
    <w:rsid w:val="00F92A8C"/>
    <w:rsid w:val="00F97BEC"/>
    <w:rsid w:val="00FC158A"/>
    <w:rsid w:val="00FC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F866D1"/>
  <w15:chartTrackingRefBased/>
  <w15:docId w15:val="{5CA78A2E-8D67-46C4-9CF1-3AAA7947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jc w:val="both"/>
    </w:pPr>
    <w:rPr>
      <w:snapToGrid w:val="0"/>
      <w:sz w:val="28"/>
      <w:szCs w:val="20"/>
    </w:rPr>
  </w:style>
  <w:style w:type="paragraph" w:styleId="2">
    <w:name w:val="Body Text 2"/>
    <w:basedOn w:val="a"/>
    <w:pPr>
      <w:jc w:val="both"/>
    </w:pPr>
    <w:rPr>
      <w:b/>
      <w:i/>
    </w:rPr>
  </w:style>
  <w:style w:type="paragraph" w:styleId="3">
    <w:name w:val="Body Text 3"/>
    <w:basedOn w:val="a"/>
    <w:pPr>
      <w:jc w:val="both"/>
    </w:pPr>
  </w:style>
  <w:style w:type="paragraph" w:styleId="a4">
    <w:name w:val="Body Text Indent"/>
    <w:basedOn w:val="a"/>
    <w:pPr>
      <w:ind w:left="180" w:hanging="180"/>
      <w:jc w:val="both"/>
    </w:pPr>
  </w:style>
  <w:style w:type="character" w:customStyle="1" w:styleId="hps">
    <w:name w:val="hps"/>
    <w:basedOn w:val="a0"/>
    <w:rsid w:val="000F41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F4F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AF4FF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F4F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AF4FF0"/>
    <w:rPr>
      <w:rFonts w:ascii="Arial" w:hAnsi="Arial" w:cs="Arial"/>
      <w:vanish/>
      <w:sz w:val="16"/>
      <w:szCs w:val="16"/>
    </w:rPr>
  </w:style>
  <w:style w:type="character" w:customStyle="1" w:styleId="atn">
    <w:name w:val="atn"/>
    <w:basedOn w:val="a0"/>
    <w:rsid w:val="001403FC"/>
  </w:style>
  <w:style w:type="character" w:customStyle="1" w:styleId="longtext">
    <w:name w:val="long_text"/>
    <w:basedOn w:val="a0"/>
    <w:rsid w:val="00287977"/>
  </w:style>
  <w:style w:type="paragraph" w:styleId="a5">
    <w:name w:val="Balloon Text"/>
    <w:basedOn w:val="a"/>
    <w:link w:val="a6"/>
    <w:uiPriority w:val="99"/>
    <w:semiHidden/>
    <w:unhideWhenUsed/>
    <w:rsid w:val="00D55E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55E2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37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237B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237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237BD"/>
    <w:rPr>
      <w:sz w:val="24"/>
      <w:szCs w:val="24"/>
    </w:rPr>
  </w:style>
  <w:style w:type="paragraph" w:customStyle="1" w:styleId="rvps2">
    <w:name w:val="rvps2"/>
    <w:basedOn w:val="a"/>
    <w:rsid w:val="00491C9E"/>
    <w:pPr>
      <w:spacing w:before="100" w:beforeAutospacing="1" w:after="100" w:afterAutospacing="1"/>
    </w:pPr>
  </w:style>
  <w:style w:type="character" w:customStyle="1" w:styleId="rvts11">
    <w:name w:val="rvts11"/>
    <w:rsid w:val="00491C9E"/>
  </w:style>
  <w:style w:type="character" w:customStyle="1" w:styleId="shorttext">
    <w:name w:val="short_text"/>
    <w:rsid w:val="004136EF"/>
  </w:style>
  <w:style w:type="character" w:customStyle="1" w:styleId="alt-edited">
    <w:name w:val="alt-edited"/>
    <w:rsid w:val="00ED2530"/>
  </w:style>
  <w:style w:type="paragraph" w:styleId="ab">
    <w:name w:val="Normal (Web)"/>
    <w:basedOn w:val="a"/>
    <w:rsid w:val="00E0102B"/>
    <w:pPr>
      <w:spacing w:before="100" w:beforeAutospacing="1" w:after="100" w:afterAutospacing="1"/>
    </w:pPr>
  </w:style>
  <w:style w:type="character" w:customStyle="1" w:styleId="rvts82">
    <w:name w:val="rvts82"/>
    <w:rsid w:val="00805D9F"/>
  </w:style>
  <w:style w:type="character" w:customStyle="1" w:styleId="tlid-translation">
    <w:name w:val="tlid-translation"/>
    <w:rsid w:val="00593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8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37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8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8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8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7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5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1A7BDF79B1724B93B31233DCA909D2" ma:contentTypeVersion="11" ma:contentTypeDescription="Создание документа." ma:contentTypeScope="" ma:versionID="8b2f83cefa3a5f9eac7a6d91608a2de5">
  <xsd:schema xmlns:xsd="http://www.w3.org/2001/XMLSchema" xmlns:xs="http://www.w3.org/2001/XMLSchema" xmlns:p="http://schemas.microsoft.com/office/2006/metadata/properties" xmlns:ns2="c37aa8d1-fcb5-4da1-86ca-512179f80953" targetNamespace="http://schemas.microsoft.com/office/2006/metadata/properties" ma:root="true" ma:fieldsID="459f863b118fca6bf4b71d36f4e9606b" ns2:_="">
    <xsd:import namespace="c37aa8d1-fcb5-4da1-86ca-512179f809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aa8d1-fcb5-4da1-86ca-512179f8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4CB562-D1A1-4B76-9D81-016CBE594B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CD6CB-7D42-426B-8E54-09630F835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aa8d1-fcb5-4da1-86ca-512179f80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70FE15-4CBF-4379-801B-4C2128D89A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5157</Words>
  <Characters>2941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Zhuravel Volodymyr</dc:creator>
  <cp:keywords/>
  <dc:description/>
  <cp:lastModifiedBy>Protsenko Halyna</cp:lastModifiedBy>
  <cp:revision>5</cp:revision>
  <cp:lastPrinted>2021-07-19T10:14:00Z</cp:lastPrinted>
  <dcterms:created xsi:type="dcterms:W3CDTF">2022-02-10T21:29:00Z</dcterms:created>
  <dcterms:modified xsi:type="dcterms:W3CDTF">2022-02-16T08:08:00Z</dcterms:modified>
</cp:coreProperties>
</file>