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1CB" w:rsidRPr="000D48F0" w:rsidRDefault="007511CB" w:rsidP="007511CB">
      <w:pPr>
        <w:pStyle w:val="a3"/>
        <w:ind w:left="5954"/>
        <w:jc w:val="center"/>
        <w:rPr>
          <w:b/>
          <w:bCs/>
          <w:sz w:val="24"/>
          <w:szCs w:val="24"/>
        </w:rPr>
      </w:pPr>
      <w:r>
        <w:rPr>
          <w:b/>
          <w:bCs/>
          <w:sz w:val="24"/>
          <w:szCs w:val="24"/>
        </w:rPr>
        <w:t>APPROVED</w:t>
      </w:r>
    </w:p>
    <w:p w:rsidR="007511CB" w:rsidRPr="000D48F0" w:rsidRDefault="007511CB" w:rsidP="007511CB">
      <w:pPr>
        <w:pStyle w:val="a3"/>
        <w:ind w:left="5954"/>
        <w:jc w:val="center"/>
        <w:rPr>
          <w:b/>
          <w:bCs/>
          <w:sz w:val="24"/>
          <w:szCs w:val="24"/>
        </w:rPr>
      </w:pPr>
      <w:r>
        <w:rPr>
          <w:b/>
          <w:bCs/>
          <w:sz w:val="24"/>
          <w:szCs w:val="24"/>
        </w:rPr>
        <w:t>by the Order of the Ministry of Health of Ukraine</w:t>
      </w:r>
    </w:p>
    <w:p w:rsidR="007511CB" w:rsidRPr="000D48F0" w:rsidRDefault="007511CB" w:rsidP="007511CB">
      <w:pPr>
        <w:pStyle w:val="a3"/>
        <w:ind w:left="5954"/>
        <w:jc w:val="center"/>
        <w:rPr>
          <w:b/>
          <w:bCs/>
          <w:sz w:val="24"/>
          <w:szCs w:val="24"/>
        </w:rPr>
      </w:pPr>
      <w:bookmarkStart w:id="0" w:name="_Hlk50538853"/>
      <w:r>
        <w:rPr>
          <w:b/>
          <w:bCs/>
          <w:sz w:val="24"/>
          <w:szCs w:val="24"/>
        </w:rPr>
        <w:t xml:space="preserve">04.09.2020 </w:t>
      </w:r>
      <w:bookmarkEnd w:id="0"/>
      <w:r>
        <w:rPr>
          <w:b/>
          <w:bCs/>
          <w:sz w:val="24"/>
          <w:szCs w:val="24"/>
        </w:rPr>
        <w:t>No. 2032</w:t>
      </w:r>
    </w:p>
    <w:p w:rsidR="007511CB" w:rsidRPr="000D48F0" w:rsidRDefault="007511CB" w:rsidP="007511CB">
      <w:pPr>
        <w:pStyle w:val="a3"/>
        <w:ind w:left="5954"/>
        <w:jc w:val="center"/>
        <w:rPr>
          <w:b/>
          <w:bCs/>
          <w:sz w:val="24"/>
          <w:szCs w:val="24"/>
        </w:rPr>
      </w:pPr>
      <w:r>
        <w:rPr>
          <w:b/>
          <w:bCs/>
          <w:sz w:val="24"/>
          <w:szCs w:val="24"/>
        </w:rPr>
        <w:t>Marketing Authorization</w:t>
      </w:r>
    </w:p>
    <w:p w:rsidR="007511CB" w:rsidRPr="000D48F0" w:rsidRDefault="007511CB" w:rsidP="007511CB">
      <w:pPr>
        <w:pStyle w:val="a3"/>
        <w:ind w:left="5954"/>
        <w:jc w:val="center"/>
        <w:rPr>
          <w:b/>
          <w:bCs/>
          <w:sz w:val="24"/>
          <w:szCs w:val="24"/>
        </w:rPr>
      </w:pPr>
      <w:r>
        <w:rPr>
          <w:b/>
          <w:bCs/>
          <w:sz w:val="24"/>
          <w:szCs w:val="24"/>
        </w:rPr>
        <w:t>No. UA/18282/01/01</w:t>
      </w:r>
    </w:p>
    <w:p w:rsidR="00BC431C" w:rsidRPr="00127EE0" w:rsidRDefault="00BC431C" w:rsidP="00491C9E">
      <w:pPr>
        <w:jc w:val="center"/>
        <w:rPr>
          <w:lang w:val="uk-UA"/>
        </w:rPr>
      </w:pPr>
    </w:p>
    <w:p w:rsidR="001768F4" w:rsidRPr="00127EE0" w:rsidRDefault="001768F4" w:rsidP="00491C9E">
      <w:pPr>
        <w:jc w:val="center"/>
        <w:rPr>
          <w:lang w:val="uk-UA"/>
        </w:rPr>
      </w:pPr>
    </w:p>
    <w:p w:rsidR="001768F4" w:rsidRPr="00127EE0" w:rsidRDefault="001768F4" w:rsidP="00491C9E">
      <w:pPr>
        <w:jc w:val="center"/>
        <w:rPr>
          <w:lang w:val="uk-UA"/>
        </w:rPr>
      </w:pPr>
    </w:p>
    <w:p w:rsidR="00BC4634" w:rsidRPr="00127EE0" w:rsidRDefault="00BC4634">
      <w:pPr>
        <w:jc w:val="center"/>
        <w:rPr>
          <w:b/>
        </w:rPr>
      </w:pPr>
      <w:r>
        <w:rPr>
          <w:b/>
        </w:rPr>
        <w:t>PACKAGE LEAFLET</w:t>
      </w:r>
    </w:p>
    <w:p w:rsidR="00BC4634" w:rsidRPr="00127EE0" w:rsidRDefault="00BC4634">
      <w:pPr>
        <w:jc w:val="center"/>
        <w:rPr>
          <w:b/>
        </w:rPr>
      </w:pPr>
      <w:r>
        <w:rPr>
          <w:b/>
        </w:rPr>
        <w:t>for medical use of a medicinal product</w:t>
      </w:r>
    </w:p>
    <w:p w:rsidR="00E6039D" w:rsidRPr="00127EE0" w:rsidRDefault="00E6039D">
      <w:pPr>
        <w:ind w:left="2040" w:right="2000"/>
        <w:jc w:val="center"/>
        <w:rPr>
          <w:b/>
          <w:lang w:val="uk-UA"/>
        </w:rPr>
      </w:pPr>
    </w:p>
    <w:p w:rsidR="0095487D" w:rsidRPr="004D28F4" w:rsidRDefault="004D28F4" w:rsidP="00E7613C">
      <w:pPr>
        <w:jc w:val="center"/>
        <w:rPr>
          <w:b/>
          <w:bCs/>
        </w:rPr>
      </w:pPr>
      <w:bookmarkStart w:id="1" w:name="_Hlk19693278"/>
      <w:r>
        <w:rPr>
          <w:b/>
          <w:bCs/>
        </w:rPr>
        <w:t>Glycine-Darnitsa</w:t>
      </w:r>
    </w:p>
    <w:bookmarkEnd w:id="1"/>
    <w:p w:rsidR="006B1A20" w:rsidRPr="004D28F4" w:rsidRDefault="006B1A20" w:rsidP="00E7613C">
      <w:pPr>
        <w:jc w:val="center"/>
        <w:rPr>
          <w:b/>
          <w:bCs/>
        </w:rPr>
      </w:pPr>
    </w:p>
    <w:p w:rsidR="0047313F" w:rsidRPr="00127EE0" w:rsidRDefault="0047313F" w:rsidP="00E7613C">
      <w:pPr>
        <w:jc w:val="center"/>
        <w:rPr>
          <w:b/>
          <w:lang w:val="uk-UA"/>
        </w:rPr>
      </w:pPr>
    </w:p>
    <w:p w:rsidR="0047313F" w:rsidRPr="00127EE0" w:rsidRDefault="0047313F" w:rsidP="00E7613C">
      <w:pPr>
        <w:jc w:val="center"/>
        <w:rPr>
          <w:b/>
          <w:lang w:val="uk-UA"/>
        </w:rPr>
      </w:pPr>
    </w:p>
    <w:p w:rsidR="0095487D" w:rsidRPr="00127EE0" w:rsidRDefault="00BC4634">
      <w:pPr>
        <w:jc w:val="both"/>
        <w:rPr>
          <w:b/>
          <w:i/>
        </w:rPr>
      </w:pPr>
      <w:r>
        <w:rPr>
          <w:b/>
          <w:i/>
        </w:rPr>
        <w:t>Qualitative and quantitative composition:</w:t>
      </w:r>
    </w:p>
    <w:p w:rsidR="00B72E6F" w:rsidRPr="00127EE0" w:rsidRDefault="00B72E6F" w:rsidP="00B72E6F">
      <w:pPr>
        <w:jc w:val="both"/>
      </w:pPr>
      <w:r>
        <w:rPr>
          <w:i/>
          <w:iCs/>
        </w:rPr>
        <w:t>active substance:</w:t>
      </w:r>
      <w:r>
        <w:t xml:space="preserve"> glycine;</w:t>
      </w:r>
    </w:p>
    <w:p w:rsidR="00B72E6F" w:rsidRPr="00127EE0" w:rsidRDefault="006B6501" w:rsidP="00B72E6F">
      <w:pPr>
        <w:jc w:val="both"/>
      </w:pPr>
      <w:r>
        <w:rPr>
          <w:rStyle w:val="tlid-translation"/>
        </w:rPr>
        <w:t>1 tablet contains glycine (on a 100% dry substance basis) 100 mg;</w:t>
      </w:r>
    </w:p>
    <w:p w:rsidR="00BC4634" w:rsidRPr="00127EE0" w:rsidRDefault="00B72E6F" w:rsidP="00B72E6F">
      <w:pPr>
        <w:jc w:val="both"/>
      </w:pPr>
      <w:r>
        <w:rPr>
          <w:i/>
        </w:rPr>
        <w:t>List of excipients:</w:t>
      </w:r>
      <w:r>
        <w:t xml:space="preserve"> </w:t>
      </w:r>
      <w:r>
        <w:rPr>
          <w:rStyle w:val="tlid-translation"/>
        </w:rPr>
        <w:t>povidone, ammonium methacrylate copolymer dispersion (type A), ammonium methacrylate copolymer dispersion (type B), magnesium stearate.</w:t>
      </w:r>
    </w:p>
    <w:p w:rsidR="00B72E6F" w:rsidRPr="00127EE0" w:rsidRDefault="00B72E6F" w:rsidP="00B72E6F">
      <w:pPr>
        <w:jc w:val="both"/>
        <w:rPr>
          <w:lang w:val="uk-UA"/>
        </w:rPr>
      </w:pPr>
    </w:p>
    <w:p w:rsidR="00491C9E" w:rsidRPr="00127EE0" w:rsidRDefault="00BC4634">
      <w:pPr>
        <w:jc w:val="both"/>
      </w:pPr>
      <w:r>
        <w:rPr>
          <w:b/>
        </w:rPr>
        <w:t>Pharmaceutical form.</w:t>
      </w:r>
      <w:r>
        <w:t xml:space="preserve"> Sublingual tablets.</w:t>
      </w:r>
    </w:p>
    <w:p w:rsidR="00BC4634" w:rsidRPr="00127EE0" w:rsidRDefault="00BC431C">
      <w:pPr>
        <w:jc w:val="both"/>
      </w:pPr>
      <w:r>
        <w:rPr>
          <w:bCs/>
          <w:i/>
          <w:iCs/>
        </w:rPr>
        <w:t>Main physical and chemical properties:</w:t>
      </w:r>
      <w:r>
        <w:t xml:space="preserve"> </w:t>
      </w:r>
      <w:r>
        <w:rPr>
          <w:rStyle w:val="tlid-translation"/>
        </w:rPr>
        <w:t>tablets of white or almost white color, flat-cylindrical shape with a bevel and a dash.</w:t>
      </w:r>
    </w:p>
    <w:p w:rsidR="00756AB3" w:rsidRPr="00127EE0" w:rsidRDefault="00756AB3">
      <w:pPr>
        <w:autoSpaceDE w:val="0"/>
        <w:autoSpaceDN w:val="0"/>
        <w:adjustRightInd w:val="0"/>
        <w:rPr>
          <w:b/>
          <w:highlight w:val="yellow"/>
          <w:lang w:val="uk-UA"/>
        </w:rPr>
      </w:pPr>
    </w:p>
    <w:p w:rsidR="00310CA3" w:rsidRPr="00127EE0" w:rsidRDefault="00BC4634" w:rsidP="00310CA3">
      <w:pPr>
        <w:jc w:val="both"/>
      </w:pPr>
      <w:r>
        <w:rPr>
          <w:b/>
        </w:rPr>
        <w:t>Pharmacotherapeutic group.</w:t>
      </w:r>
      <w:r>
        <w:t xml:space="preserve"> Other nervous system drugs. </w:t>
      </w:r>
      <w:bookmarkStart w:id="2" w:name="_Hlk29542134"/>
      <w:r>
        <w:t>ATC code N07Х</w:t>
      </w:r>
      <w:bookmarkStart w:id="3" w:name="_Hlk29542086"/>
      <w:r>
        <w:t>Х</w:t>
      </w:r>
      <w:bookmarkEnd w:id="2"/>
      <w:bookmarkEnd w:id="3"/>
      <w:r>
        <w:t>.</w:t>
      </w:r>
    </w:p>
    <w:p w:rsidR="00BC4634" w:rsidRPr="00127EE0" w:rsidRDefault="00BC4634" w:rsidP="00310CA3">
      <w:pPr>
        <w:autoSpaceDE w:val="0"/>
        <w:autoSpaceDN w:val="0"/>
        <w:adjustRightInd w:val="0"/>
        <w:rPr>
          <w:b/>
          <w:highlight w:val="yellow"/>
          <w:lang w:val="uk-UA"/>
        </w:rPr>
      </w:pPr>
    </w:p>
    <w:p w:rsidR="00435B55" w:rsidRPr="00127EE0" w:rsidRDefault="00435B55" w:rsidP="00435B55">
      <w:pPr>
        <w:rPr>
          <w:b/>
          <w:i/>
          <w:szCs w:val="28"/>
        </w:rPr>
      </w:pPr>
      <w:r>
        <w:rPr>
          <w:b/>
          <w:i/>
          <w:szCs w:val="28"/>
        </w:rPr>
        <w:t>Pharmacological properties.</w:t>
      </w:r>
    </w:p>
    <w:p w:rsidR="00AE01AF" w:rsidRPr="00127EE0" w:rsidRDefault="00462569" w:rsidP="00462569">
      <w:pPr>
        <w:jc w:val="both"/>
      </w:pPr>
      <w:r>
        <w:rPr>
          <w:i/>
        </w:rPr>
        <w:t>Pharmacodynamic properties.</w:t>
      </w:r>
      <w:r>
        <w:t xml:space="preserve"> </w:t>
      </w:r>
    </w:p>
    <w:p w:rsidR="00462569" w:rsidRPr="00127EE0" w:rsidRDefault="00462569" w:rsidP="00462569">
      <w:pPr>
        <w:jc w:val="both"/>
      </w:pPr>
      <w:r>
        <w:t>Glycine (aminoacetic acid) has the properties of a regulator of metabolism and is a substitute amino acid (natural metabolite), is a neurotransmitter of the inhibitory type of action and a regulator of metabolic processes in the central nervous system.</w:t>
      </w:r>
    </w:p>
    <w:p w:rsidR="00462569" w:rsidRPr="00127EE0" w:rsidRDefault="00101230" w:rsidP="00462569">
      <w:pPr>
        <w:jc w:val="both"/>
      </w:pPr>
      <w:r>
        <w:t>The medicinal product has glycine and GABA-ergic, α-adrenoblocking, antioxidant, antitoxic effect, regulates the activity of glutamate receptors, due to which it is able to:</w:t>
      </w:r>
    </w:p>
    <w:p w:rsidR="00462569" w:rsidRPr="00127EE0" w:rsidRDefault="00462569" w:rsidP="00462569">
      <w:pPr>
        <w:jc w:val="both"/>
      </w:pPr>
      <w:r>
        <w:t>- to reduce psycho-emotional stress, aggression, conflict, to increase social adaptation;</w:t>
      </w:r>
    </w:p>
    <w:p w:rsidR="00462569" w:rsidRPr="00127EE0" w:rsidRDefault="00462569" w:rsidP="00462569">
      <w:pPr>
        <w:jc w:val="both"/>
      </w:pPr>
      <w:r>
        <w:t>- improve mood;</w:t>
      </w:r>
    </w:p>
    <w:p w:rsidR="00462569" w:rsidRPr="00127EE0" w:rsidRDefault="00462569" w:rsidP="00462569">
      <w:pPr>
        <w:jc w:val="both"/>
      </w:pPr>
      <w:r>
        <w:t>- facilitate falling asleep and normalize sleep;</w:t>
      </w:r>
    </w:p>
    <w:p w:rsidR="00462569" w:rsidRPr="00127EE0" w:rsidRDefault="00462569" w:rsidP="00462569">
      <w:pPr>
        <w:jc w:val="both"/>
      </w:pPr>
      <w:r>
        <w:t>- improve mental performance;</w:t>
      </w:r>
    </w:p>
    <w:p w:rsidR="00462569" w:rsidRPr="00127EE0" w:rsidRDefault="00462569" w:rsidP="00462569">
      <w:pPr>
        <w:jc w:val="both"/>
      </w:pPr>
      <w:r>
        <w:t>- to reduce vegetative-vascular disorders, including during menopause;</w:t>
      </w:r>
    </w:p>
    <w:p w:rsidR="00462569" w:rsidRPr="00127EE0" w:rsidRDefault="00462569" w:rsidP="00462569">
      <w:pPr>
        <w:jc w:val="both"/>
      </w:pPr>
      <w:r>
        <w:t>- to reduce the severity of cerebral disorders in ischemic stroke and traumatic brain injury;</w:t>
      </w:r>
    </w:p>
    <w:p w:rsidR="00462569" w:rsidRPr="00127EE0" w:rsidRDefault="00462569" w:rsidP="00462569">
      <w:pPr>
        <w:jc w:val="both"/>
      </w:pPr>
      <w:r>
        <w:t>- to reduce the toxic effects of alcohol.</w:t>
      </w:r>
    </w:p>
    <w:p w:rsidR="00462569" w:rsidRPr="00127EE0" w:rsidRDefault="00365D89" w:rsidP="00462569">
      <w:pPr>
        <w:jc w:val="both"/>
      </w:pPr>
      <w:r>
        <w:t>The medicinal product is not addictive.</w:t>
      </w:r>
    </w:p>
    <w:p w:rsidR="007D5497" w:rsidRPr="00127EE0" w:rsidRDefault="00462569" w:rsidP="00462569">
      <w:pPr>
        <w:jc w:val="both"/>
      </w:pPr>
      <w:r>
        <w:t>Pharmacokinetic properties.</w:t>
      </w:r>
    </w:p>
    <w:p w:rsidR="00462569" w:rsidRPr="00127EE0" w:rsidRDefault="00462569" w:rsidP="00462569">
      <w:pPr>
        <w:jc w:val="both"/>
      </w:pPr>
      <w:r>
        <w:t>Easily penetrates into biological fluids and body tissues, including the brain. It is rapidly destroyed in the liver by glycine oxidase to water and carbon dioxide. The accumulation of glycine in the tissues does not occur.</w:t>
      </w:r>
    </w:p>
    <w:p w:rsidR="005F0FD2" w:rsidRDefault="005F0FD2" w:rsidP="002D7B4F">
      <w:pPr>
        <w:rPr>
          <w:b/>
          <w:szCs w:val="28"/>
          <w:lang w:val="uk-UA" w:eastAsia="uk-UA"/>
        </w:rPr>
      </w:pPr>
    </w:p>
    <w:p w:rsidR="002D7B4F" w:rsidRPr="00127EE0" w:rsidRDefault="002D7B4F" w:rsidP="002D7B4F">
      <w:pPr>
        <w:rPr>
          <w:b/>
          <w:i/>
          <w:szCs w:val="28"/>
        </w:rPr>
      </w:pPr>
      <w:r>
        <w:rPr>
          <w:b/>
          <w:szCs w:val="28"/>
        </w:rPr>
        <w:t>Clinical particulars.</w:t>
      </w:r>
    </w:p>
    <w:p w:rsidR="002D7B4F" w:rsidRPr="00127EE0" w:rsidRDefault="005E439D" w:rsidP="002D7B4F">
      <w:pPr>
        <w:widowControl w:val="0"/>
        <w:rPr>
          <w:b/>
          <w:i/>
          <w:szCs w:val="28"/>
        </w:rPr>
      </w:pPr>
      <w:r>
        <w:rPr>
          <w:b/>
          <w:i/>
          <w:szCs w:val="28"/>
        </w:rPr>
        <w:t>Therapeutic indications.</w:t>
      </w:r>
    </w:p>
    <w:p w:rsidR="004A5F32" w:rsidRPr="00127EE0" w:rsidRDefault="004A5F32" w:rsidP="004A5F32">
      <w:pPr>
        <w:jc w:val="both"/>
      </w:pPr>
      <w:r>
        <w:t>Decreased mental performance.</w:t>
      </w:r>
    </w:p>
    <w:p w:rsidR="004A5F32" w:rsidRPr="00127EE0" w:rsidRDefault="00124947" w:rsidP="004A5F32">
      <w:pPr>
        <w:jc w:val="both"/>
      </w:pPr>
      <w:r>
        <w:t>Stressful situations and psycho-emotional stress (during exams, in conflict situations).</w:t>
      </w:r>
    </w:p>
    <w:p w:rsidR="004A5F32" w:rsidRPr="00127EE0" w:rsidRDefault="004A5F32" w:rsidP="004A5F32">
      <w:pPr>
        <w:jc w:val="both"/>
      </w:pPr>
      <w:r>
        <w:t>Deviant forms of behavior of children and adults.</w:t>
      </w:r>
    </w:p>
    <w:p w:rsidR="004A5F32" w:rsidRPr="00127EE0" w:rsidRDefault="004A5F32" w:rsidP="004A5F32">
      <w:pPr>
        <w:jc w:val="both"/>
      </w:pPr>
      <w:r>
        <w:lastRenderedPageBreak/>
        <w:t>Functional and organic diseases of the nervous system (neuroses, neurosis-like states, vegetative-vascular dystonia, the consequences of neuroinfection, traumatic brain injury, perinatal and other forms of encephalopathy, including alcoholic genesis), which are accompanied by increased excitability, emotional instability, decreased mental performance, sleep disturbances.</w:t>
      </w:r>
    </w:p>
    <w:p w:rsidR="004A5F32" w:rsidRPr="00127EE0" w:rsidRDefault="004A5F32" w:rsidP="004A5F32">
      <w:pPr>
        <w:jc w:val="both"/>
      </w:pPr>
      <w:r>
        <w:t>Ischemic stroke and cerebrovascular disorders.</w:t>
      </w:r>
    </w:p>
    <w:p w:rsidR="002D7B4F" w:rsidRPr="00127EE0" w:rsidRDefault="004A5F32" w:rsidP="004A5F32">
      <w:r>
        <w:t>As an adjuvant in the treatment of alcoholism.</w:t>
      </w:r>
    </w:p>
    <w:p w:rsidR="00CF30BB" w:rsidRPr="00127EE0" w:rsidRDefault="00CF30BB" w:rsidP="004A5F32">
      <w:pPr>
        <w:rPr>
          <w:szCs w:val="28"/>
          <w:highlight w:val="yellow"/>
          <w:lang w:val="uk-UA"/>
        </w:rPr>
      </w:pPr>
    </w:p>
    <w:p w:rsidR="002D7B4F" w:rsidRPr="00127EE0" w:rsidRDefault="0091728E" w:rsidP="00A51963">
      <w:pPr>
        <w:jc w:val="both"/>
        <w:rPr>
          <w:b/>
          <w:i/>
          <w:szCs w:val="28"/>
        </w:rPr>
      </w:pPr>
      <w:r>
        <w:rPr>
          <w:b/>
          <w:i/>
          <w:szCs w:val="28"/>
        </w:rPr>
        <w:t>Contraindications.</w:t>
      </w:r>
    </w:p>
    <w:p w:rsidR="002A1132" w:rsidRPr="00127EE0" w:rsidRDefault="000B3164" w:rsidP="00A51963">
      <w:pPr>
        <w:widowControl w:val="0"/>
        <w:snapToGrid w:val="0"/>
        <w:jc w:val="both"/>
        <w:rPr>
          <w:b/>
          <w:i/>
          <w:szCs w:val="20"/>
          <w:highlight w:val="yellow"/>
        </w:rPr>
      </w:pPr>
      <w:r>
        <w:t>Individual intolerance to the medicinal product and hypersensitivity to its individual components; arterial hypotension. Children age up to 3 years.</w:t>
      </w:r>
    </w:p>
    <w:p w:rsidR="00F405D5" w:rsidRPr="00127EE0" w:rsidRDefault="00F405D5" w:rsidP="002A1132">
      <w:pPr>
        <w:widowControl w:val="0"/>
        <w:snapToGrid w:val="0"/>
        <w:rPr>
          <w:b/>
          <w:i/>
          <w:szCs w:val="20"/>
          <w:lang w:val="uk-UA" w:eastAsia="uk-UA"/>
        </w:rPr>
      </w:pPr>
    </w:p>
    <w:p w:rsidR="002A1132" w:rsidRPr="00127EE0" w:rsidRDefault="002A1132" w:rsidP="002A1132">
      <w:pPr>
        <w:widowControl w:val="0"/>
        <w:snapToGrid w:val="0"/>
        <w:rPr>
          <w:b/>
          <w:i/>
          <w:szCs w:val="20"/>
        </w:rPr>
      </w:pPr>
      <w:r>
        <w:rPr>
          <w:b/>
          <w:i/>
          <w:szCs w:val="20"/>
        </w:rPr>
        <w:t>Interaction with other medicinal products and other forms of interaction.</w:t>
      </w:r>
    </w:p>
    <w:p w:rsidR="004236FC" w:rsidRPr="00127EE0" w:rsidRDefault="004D28F4" w:rsidP="004D28F4">
      <w:pPr>
        <w:jc w:val="both"/>
        <w:rPr>
          <w:b/>
        </w:rPr>
      </w:pPr>
      <w:r>
        <w:t>Glycine-Darnitsa reduces the toxicity of anticonvulsants, antipsychotics, antidepressants, antiepileptic medications. When combined with hypnotics, tranquilizers and antipsychotics, the effect of inhibition of the central nervous system is enhanced.</w:t>
      </w:r>
    </w:p>
    <w:p w:rsidR="00491C9E" w:rsidRPr="00127EE0" w:rsidRDefault="00491C9E" w:rsidP="002A1132">
      <w:pPr>
        <w:widowControl w:val="0"/>
        <w:rPr>
          <w:b/>
          <w:i/>
          <w:szCs w:val="28"/>
          <w:lang w:val="uk-UA" w:eastAsia="uk-UA"/>
        </w:rPr>
      </w:pPr>
    </w:p>
    <w:p w:rsidR="002A1132" w:rsidRPr="00127EE0" w:rsidRDefault="002A1132" w:rsidP="002A1132">
      <w:pPr>
        <w:widowControl w:val="0"/>
        <w:rPr>
          <w:b/>
          <w:i/>
          <w:szCs w:val="28"/>
        </w:rPr>
      </w:pPr>
      <w:r>
        <w:rPr>
          <w:b/>
          <w:i/>
          <w:szCs w:val="28"/>
        </w:rPr>
        <w:t>Special warnings and precautions for use.</w:t>
      </w:r>
    </w:p>
    <w:p w:rsidR="00F505A8" w:rsidRPr="00127EE0" w:rsidRDefault="00326DF7" w:rsidP="00F505A8">
      <w:pPr>
        <w:jc w:val="both"/>
        <w:rPr>
          <w:b/>
        </w:rPr>
      </w:pPr>
      <w:r>
        <w:t xml:space="preserve">In patients with a tendency to arterial hypotension, it is necessary to monitor the level </w:t>
      </w:r>
      <w:bookmarkStart w:id="4" w:name="_Hlk513809623"/>
      <w:r>
        <w:t xml:space="preserve">of blood pressure and, if necessary, adjust the dose </w:t>
      </w:r>
      <w:bookmarkEnd w:id="4"/>
      <w:r>
        <w:t>of the medicinal product. Glycine is prescribed in smaller doses and subject to regular monitoring of blood pressure. When it drops below the usual level, the use of the medicinal product is discontinued.</w:t>
      </w:r>
    </w:p>
    <w:p w:rsidR="00167E19" w:rsidRPr="00127EE0" w:rsidRDefault="00167E19" w:rsidP="00167E19">
      <w:pPr>
        <w:rPr>
          <w:szCs w:val="28"/>
          <w:highlight w:val="yellow"/>
          <w:lang w:val="uk-UA"/>
        </w:rPr>
      </w:pPr>
    </w:p>
    <w:p w:rsidR="00167E19" w:rsidRPr="00127EE0" w:rsidRDefault="00167E19" w:rsidP="00167E19">
      <w:pPr>
        <w:rPr>
          <w:i/>
          <w:szCs w:val="28"/>
        </w:rPr>
      </w:pPr>
      <w:r>
        <w:rPr>
          <w:i/>
          <w:szCs w:val="28"/>
        </w:rPr>
        <w:t>Fertility, pregnancy and lactation.</w:t>
      </w:r>
    </w:p>
    <w:p w:rsidR="00F505A8" w:rsidRPr="00127EE0" w:rsidRDefault="00F505A8" w:rsidP="00F505A8">
      <w:pPr>
        <w:jc w:val="both"/>
      </w:pPr>
      <w:r>
        <w:t>The effect of glycine on the body during pregnancy and lactation has not been studied in detail, so administration of medicinal product is not recommended.</w:t>
      </w:r>
    </w:p>
    <w:p w:rsidR="002D7B4F" w:rsidRPr="00127EE0" w:rsidRDefault="002D7B4F" w:rsidP="002D7B4F">
      <w:pPr>
        <w:widowControl w:val="0"/>
        <w:rPr>
          <w:b/>
          <w:i/>
          <w:szCs w:val="20"/>
          <w:highlight w:val="yellow"/>
          <w:lang w:val="uk-UA"/>
        </w:rPr>
      </w:pPr>
    </w:p>
    <w:p w:rsidR="002F698D" w:rsidRPr="00127EE0" w:rsidRDefault="002F698D" w:rsidP="002F698D">
      <w:pPr>
        <w:jc w:val="both"/>
        <w:rPr>
          <w:i/>
          <w:szCs w:val="28"/>
        </w:rPr>
      </w:pPr>
      <w:r>
        <w:rPr>
          <w:i/>
          <w:szCs w:val="28"/>
        </w:rPr>
        <w:t>Effects on ability to drive and use machines.</w:t>
      </w:r>
    </w:p>
    <w:p w:rsidR="00367B20" w:rsidRPr="00127EE0" w:rsidRDefault="00367B20" w:rsidP="00367B20">
      <w:pPr>
        <w:jc w:val="both"/>
      </w:pPr>
      <w:r>
        <w:t>Care must be taken during driving or use machines, as well as with potentially hazardous activities.</w:t>
      </w:r>
    </w:p>
    <w:p w:rsidR="002F698D" w:rsidRPr="00127EE0" w:rsidRDefault="002F698D" w:rsidP="002D7B4F">
      <w:pPr>
        <w:widowControl w:val="0"/>
        <w:rPr>
          <w:b/>
          <w:i/>
          <w:szCs w:val="20"/>
          <w:highlight w:val="yellow"/>
          <w:lang w:val="uk-UA"/>
        </w:rPr>
      </w:pPr>
    </w:p>
    <w:p w:rsidR="002D7B4F" w:rsidRPr="00127EE0" w:rsidRDefault="002D7B4F" w:rsidP="002D7B4F">
      <w:pPr>
        <w:widowControl w:val="0"/>
        <w:rPr>
          <w:b/>
          <w:i/>
          <w:szCs w:val="20"/>
        </w:rPr>
      </w:pPr>
      <w:r>
        <w:rPr>
          <w:b/>
          <w:i/>
          <w:szCs w:val="20"/>
        </w:rPr>
        <w:t>Posology and method of administration.</w:t>
      </w:r>
    </w:p>
    <w:p w:rsidR="00367B20" w:rsidRPr="00127EE0" w:rsidRDefault="00A244B1" w:rsidP="00367B20">
      <w:pPr>
        <w:jc w:val="both"/>
      </w:pPr>
      <w:r>
        <w:t>The medicinal product is used transbuccally or sublingually (in tablets or in powder form after grinding the tablet).</w:t>
      </w:r>
    </w:p>
    <w:p w:rsidR="00367B20" w:rsidRPr="00127EE0" w:rsidRDefault="00367B20" w:rsidP="00367B20">
      <w:pPr>
        <w:jc w:val="both"/>
      </w:pPr>
      <w:r>
        <w:rPr>
          <w:i/>
        </w:rPr>
        <w:t>Children over 3 years of age, adolescents, adults</w:t>
      </w:r>
      <w:r>
        <w:t xml:space="preserve"> with a decrease in mental performance, memory, attention, with mental retardation, with psycho-emotional stress, with deviant forms of behavior Glycine-Darnitsa is prescribed 1 tablet (100 mg) 2</w:t>
      </w:r>
      <w:bookmarkStart w:id="5" w:name="_Hlk513809391"/>
      <w:r>
        <w:t>–</w:t>
      </w:r>
      <w:bookmarkEnd w:id="5"/>
      <w:r>
        <w:t xml:space="preserve">3 times a day for 14-30 days. </w:t>
      </w:r>
    </w:p>
    <w:p w:rsidR="00367B20" w:rsidRPr="00127EE0" w:rsidRDefault="00367B20" w:rsidP="00367B20">
      <w:pPr>
        <w:jc w:val="both"/>
      </w:pPr>
      <w:r>
        <w:t>The maximum daily dose is 300 mg.</w:t>
      </w:r>
    </w:p>
    <w:p w:rsidR="00367B20" w:rsidRPr="00127EE0" w:rsidRDefault="00367B20" w:rsidP="00367B20">
      <w:pPr>
        <w:jc w:val="both"/>
      </w:pPr>
      <w:r>
        <w:rPr>
          <w:i/>
        </w:rPr>
        <w:t>Children over 3 years of age and adults</w:t>
      </w:r>
      <w:r>
        <w:t xml:space="preserve"> with functional and organic diseases of the nervous system (neuroses, neurosis-like states, vegetative-vascular dystonia, consequences of neuroinfection, traumatic brain injury, perinatal and other forms of encephalopathy, including </w:t>
      </w:r>
      <w:r w:rsidR="00191054">
        <w:t>the number of alcoholic genesis) is prescribed 1 tablet 2-3 times per day, the course of treatment is 7-14 days. Repeat the course of treatment if necessary.</w:t>
      </w:r>
    </w:p>
    <w:p w:rsidR="00367B20" w:rsidRPr="00127EE0" w:rsidRDefault="00367B20" w:rsidP="00367B20">
      <w:pPr>
        <w:jc w:val="both"/>
      </w:pPr>
      <w:r>
        <w:rPr>
          <w:i/>
        </w:rPr>
        <w:t xml:space="preserve">For sleep disorders, </w:t>
      </w:r>
      <w:r>
        <w:t xml:space="preserve">50-100 mg is prescribed 20 minutes before bedtime or just before bedtime. </w:t>
      </w:r>
    </w:p>
    <w:p w:rsidR="00367B20" w:rsidRPr="00127EE0" w:rsidRDefault="00367B20" w:rsidP="00367B20">
      <w:pPr>
        <w:jc w:val="both"/>
      </w:pPr>
      <w:r>
        <w:rPr>
          <w:i/>
        </w:rPr>
        <w:t>For ischemic stroke and cerebrovascular disorders</w:t>
      </w:r>
      <w:r>
        <w:t xml:space="preserve"> 1 g of the medicinal product is prescribed transbuccally or sublingually (if necessary, grind the tablet) for the first 3-6 hours after the onset of stroke, then - for 1-5 days, 1 g per day, then for 6- 30 days - 1-2 tablets 3 times per day.</w:t>
      </w:r>
    </w:p>
    <w:p w:rsidR="00367B20" w:rsidRPr="00127EE0" w:rsidRDefault="00367B20" w:rsidP="00367B20">
      <w:pPr>
        <w:jc w:val="both"/>
        <w:rPr>
          <w:b/>
          <w:bCs/>
          <w:i/>
        </w:rPr>
      </w:pPr>
      <w:r>
        <w:rPr>
          <w:i/>
        </w:rPr>
        <w:t>In the treatment of alcoholism,</w:t>
      </w:r>
      <w:r>
        <w:t xml:space="preserve"> the medicinal product is prescribed as an adjuvant to 1 tablet 2-3 times per day for 14-30 days. If necessary, the course of treatment is repeated 4-6 times a year.</w:t>
      </w:r>
    </w:p>
    <w:p w:rsidR="002D7B4F" w:rsidRPr="00127EE0" w:rsidRDefault="002D7B4F" w:rsidP="002D7B4F">
      <w:pPr>
        <w:rPr>
          <w:b/>
          <w:i/>
          <w:szCs w:val="28"/>
          <w:highlight w:val="yellow"/>
          <w:lang w:val="uk-UA" w:eastAsia="uk-UA"/>
        </w:rPr>
      </w:pPr>
    </w:p>
    <w:p w:rsidR="005D27E3" w:rsidRPr="00127EE0" w:rsidRDefault="005D27E3" w:rsidP="005D27E3">
      <w:pPr>
        <w:rPr>
          <w:szCs w:val="28"/>
        </w:rPr>
      </w:pPr>
      <w:r>
        <w:rPr>
          <w:i/>
        </w:rPr>
        <w:t>Children.</w:t>
      </w:r>
    </w:p>
    <w:p w:rsidR="005D27E3" w:rsidRPr="00127EE0" w:rsidRDefault="002B60AA" w:rsidP="005D27E3">
      <w:r>
        <w:t>The medicinal product is used in children over 3 years old.</w:t>
      </w:r>
    </w:p>
    <w:p w:rsidR="00527BE7" w:rsidRPr="00127EE0" w:rsidRDefault="00527BE7" w:rsidP="005D27E3">
      <w:pPr>
        <w:rPr>
          <w:szCs w:val="28"/>
          <w:highlight w:val="yellow"/>
          <w:lang w:val="uk-UA"/>
        </w:rPr>
      </w:pPr>
    </w:p>
    <w:p w:rsidR="005D27E3" w:rsidRPr="00127EE0" w:rsidRDefault="005D27E3" w:rsidP="005D27E3">
      <w:pPr>
        <w:rPr>
          <w:b/>
          <w:i/>
          <w:szCs w:val="28"/>
        </w:rPr>
      </w:pPr>
      <w:r>
        <w:rPr>
          <w:b/>
          <w:i/>
          <w:szCs w:val="28"/>
        </w:rPr>
        <w:t>Overdose.</w:t>
      </w:r>
    </w:p>
    <w:p w:rsidR="005D27E3" w:rsidRPr="00127EE0" w:rsidRDefault="00983FA2" w:rsidP="001E5BE2">
      <w:pPr>
        <w:jc w:val="both"/>
      </w:pPr>
      <w:r>
        <w:t>There are no data on clinical manifestations of overdose.</w:t>
      </w:r>
    </w:p>
    <w:p w:rsidR="00983FA2" w:rsidRPr="00127EE0" w:rsidRDefault="00983FA2" w:rsidP="001E5BE2">
      <w:pPr>
        <w:jc w:val="both"/>
        <w:rPr>
          <w:szCs w:val="28"/>
          <w:highlight w:val="yellow"/>
          <w:lang w:val="uk-UA"/>
        </w:rPr>
      </w:pPr>
    </w:p>
    <w:p w:rsidR="002D7B4F" w:rsidRPr="00127EE0" w:rsidRDefault="005D27E3" w:rsidP="001E5BE2">
      <w:pPr>
        <w:jc w:val="both"/>
        <w:rPr>
          <w:b/>
          <w:i/>
          <w:szCs w:val="28"/>
        </w:rPr>
      </w:pPr>
      <w:r>
        <w:rPr>
          <w:b/>
          <w:i/>
          <w:szCs w:val="28"/>
        </w:rPr>
        <w:t>Undesirable effects.</w:t>
      </w:r>
    </w:p>
    <w:p w:rsidR="005224B7" w:rsidRPr="00127EE0" w:rsidRDefault="00CC33B6" w:rsidP="009F6D79">
      <w:pPr>
        <w:jc w:val="both"/>
      </w:pPr>
      <w:r>
        <w:t>The medicinal product is usually well tolerated. In some cases, with individual hypersensitivity, allergic reactions may develop, including rhinitis, conjunctivitis, rash, itching, urticaria, irritation (perspiration) in the throat, weakness.</w:t>
      </w:r>
    </w:p>
    <w:p w:rsidR="009F6D79" w:rsidRPr="00127EE0" w:rsidRDefault="009F6D79" w:rsidP="009F6D79">
      <w:pPr>
        <w:widowControl w:val="0"/>
        <w:ind w:left="40" w:right="2"/>
        <w:jc w:val="both"/>
      </w:pPr>
      <w:r>
        <w:t>On the part of the gastrointestinal tract, dyspeptic symptoms may develop, including epigastric pain, nausea. On the part of the nervous system, isolated cases of deterioration in concentration, headache, tension, irritability were observed.</w:t>
      </w:r>
    </w:p>
    <w:p w:rsidR="005224B7" w:rsidRPr="00127EE0" w:rsidRDefault="005224B7" w:rsidP="001E5BE2">
      <w:pPr>
        <w:jc w:val="both"/>
        <w:rPr>
          <w:b/>
          <w:i/>
          <w:szCs w:val="28"/>
          <w:lang w:val="uk-UA" w:eastAsia="uk-UA"/>
        </w:rPr>
      </w:pPr>
    </w:p>
    <w:p w:rsidR="005D27E3" w:rsidRPr="00127EE0" w:rsidRDefault="005D27E3" w:rsidP="001E5BE2">
      <w:pPr>
        <w:jc w:val="both"/>
        <w:rPr>
          <w:szCs w:val="28"/>
        </w:rPr>
      </w:pPr>
      <w:r>
        <w:rPr>
          <w:b/>
          <w:i/>
          <w:szCs w:val="28"/>
        </w:rPr>
        <w:t xml:space="preserve">Shelf life. </w:t>
      </w:r>
      <w:r>
        <w:t>1,5 years.</w:t>
      </w:r>
    </w:p>
    <w:p w:rsidR="002D7B4F" w:rsidRPr="00127EE0" w:rsidRDefault="002D7B4F" w:rsidP="002D7B4F">
      <w:pPr>
        <w:rPr>
          <w:szCs w:val="28"/>
          <w:lang w:val="uk-UA"/>
        </w:rPr>
      </w:pPr>
    </w:p>
    <w:p w:rsidR="005D27E3" w:rsidRPr="00127EE0" w:rsidRDefault="005D27E3" w:rsidP="005D27E3">
      <w:pPr>
        <w:jc w:val="both"/>
        <w:rPr>
          <w:b/>
          <w:szCs w:val="28"/>
        </w:rPr>
      </w:pPr>
      <w:r>
        <w:rPr>
          <w:b/>
          <w:szCs w:val="28"/>
        </w:rPr>
        <w:t>Special precautions for storage.</w:t>
      </w:r>
    </w:p>
    <w:p w:rsidR="00A102F3" w:rsidRPr="00127EE0" w:rsidRDefault="00A102F3" w:rsidP="00A102F3">
      <w:pPr>
        <w:widowControl w:val="0"/>
        <w:jc w:val="both"/>
      </w:pPr>
      <w:r>
        <w:t>Store in the original package at a temperature below 25°C.</w:t>
      </w:r>
    </w:p>
    <w:p w:rsidR="00A102F3" w:rsidRPr="00127EE0" w:rsidRDefault="00A102F3" w:rsidP="00A102F3">
      <w:pPr>
        <w:widowControl w:val="0"/>
        <w:jc w:val="both"/>
      </w:pPr>
      <w:r>
        <w:t>Keep out of the reach of children.</w:t>
      </w:r>
    </w:p>
    <w:p w:rsidR="002D7B4F" w:rsidRPr="00127EE0" w:rsidRDefault="002D7B4F" w:rsidP="002D7B4F">
      <w:pPr>
        <w:rPr>
          <w:szCs w:val="28"/>
          <w:lang w:val="uk-UA"/>
        </w:rPr>
      </w:pPr>
    </w:p>
    <w:p w:rsidR="00C92FE6" w:rsidRPr="00127EE0" w:rsidRDefault="0091728E" w:rsidP="00B16656">
      <w:pPr>
        <w:jc w:val="both"/>
        <w:rPr>
          <w:b/>
          <w:szCs w:val="28"/>
        </w:rPr>
      </w:pPr>
      <w:r>
        <w:rPr>
          <w:b/>
          <w:szCs w:val="28"/>
        </w:rPr>
        <w:t>Nature and contents of container.</w:t>
      </w:r>
    </w:p>
    <w:p w:rsidR="007669F8" w:rsidRPr="00127EE0" w:rsidRDefault="007669F8" w:rsidP="007669F8">
      <w:pPr>
        <w:widowControl w:val="0"/>
        <w:suppressAutoHyphens/>
        <w:jc w:val="both"/>
        <w:outlineLvl w:val="1"/>
        <w:rPr>
          <w:rFonts w:eastAsia="SimSun"/>
          <w:bCs/>
        </w:rPr>
      </w:pPr>
      <w:r>
        <w:t>10 tablets in a blister container; 3 or 6 blister containers in a package.</w:t>
      </w:r>
    </w:p>
    <w:p w:rsidR="00B4003F" w:rsidRPr="00127EE0" w:rsidRDefault="00B4003F" w:rsidP="00B42046">
      <w:pPr>
        <w:jc w:val="both"/>
        <w:rPr>
          <w:highlight w:val="yellow"/>
          <w:lang w:val="uk-UA"/>
        </w:rPr>
      </w:pPr>
    </w:p>
    <w:p w:rsidR="002D7B4F" w:rsidRPr="00127EE0" w:rsidRDefault="002D7B4F" w:rsidP="002D7B4F">
      <w:pPr>
        <w:rPr>
          <w:szCs w:val="28"/>
        </w:rPr>
      </w:pPr>
      <w:r>
        <w:rPr>
          <w:b/>
          <w:szCs w:val="28"/>
        </w:rPr>
        <w:t xml:space="preserve">Category of release. </w:t>
      </w:r>
      <w:r>
        <w:t>Non-prescription medicine.</w:t>
      </w:r>
    </w:p>
    <w:p w:rsidR="002D7B4F" w:rsidRPr="00127EE0" w:rsidRDefault="002D7B4F" w:rsidP="002D7B4F">
      <w:pPr>
        <w:rPr>
          <w:szCs w:val="28"/>
          <w:lang w:val="uk-UA"/>
        </w:rPr>
      </w:pPr>
    </w:p>
    <w:p w:rsidR="00B16656" w:rsidRPr="00127EE0" w:rsidRDefault="00B16656" w:rsidP="00B16656">
      <w:pPr>
        <w:jc w:val="both"/>
        <w:rPr>
          <w:b/>
        </w:rPr>
      </w:pPr>
      <w:r>
        <w:rPr>
          <w:b/>
        </w:rPr>
        <w:t xml:space="preserve">Manufacturer. </w:t>
      </w:r>
      <w:r>
        <w:t>PrJSC “Pharmaceutical firm “Darnitsa”.</w:t>
      </w:r>
    </w:p>
    <w:p w:rsidR="00B16656" w:rsidRPr="00127EE0" w:rsidRDefault="00B16656" w:rsidP="00B16656">
      <w:pPr>
        <w:jc w:val="both"/>
        <w:rPr>
          <w:b/>
          <w:lang w:val="uk-UA"/>
        </w:rPr>
      </w:pPr>
    </w:p>
    <w:p w:rsidR="0012771C" w:rsidRPr="00127EE0" w:rsidRDefault="0012771C" w:rsidP="0012771C">
      <w:pPr>
        <w:jc w:val="both"/>
        <w:rPr>
          <w:b/>
          <w:bCs/>
        </w:rPr>
      </w:pPr>
      <w:r>
        <w:rPr>
          <w:b/>
          <w:bCs/>
        </w:rPr>
        <w:t>The manufacturer's location and address of the place of business.</w:t>
      </w:r>
    </w:p>
    <w:p w:rsidR="0012771C" w:rsidRPr="00127EE0" w:rsidRDefault="00DE0E9B" w:rsidP="0012771C">
      <w:pPr>
        <w:jc w:val="both"/>
      </w:pPr>
      <w:r w:rsidRPr="00363E13">
        <w:t>13, Boryspilska Street, Kyiv, 02093, Ukraine</w:t>
      </w:r>
      <w:r w:rsidR="0012771C">
        <w:t>.</w:t>
      </w:r>
    </w:p>
    <w:p w:rsidR="0012771C" w:rsidRPr="00127EE0" w:rsidRDefault="0012771C" w:rsidP="0012771C">
      <w:pPr>
        <w:jc w:val="both"/>
        <w:rPr>
          <w:lang w:val="uk-UA"/>
        </w:rPr>
      </w:pPr>
    </w:p>
    <w:p w:rsidR="00BC4634" w:rsidRDefault="00DE0E9B">
      <w:pPr>
        <w:jc w:val="both"/>
        <w:rPr>
          <w:bCs/>
        </w:rPr>
      </w:pPr>
      <w:r>
        <w:rPr>
          <w:b/>
        </w:rPr>
        <w:t>Date of last revision</w:t>
      </w:r>
      <w:r w:rsidR="00B16656">
        <w:rPr>
          <w:b/>
        </w:rPr>
        <w:t>.</w:t>
      </w:r>
      <w:r w:rsidR="00B16656">
        <w:t xml:space="preserve"> 04.09.2020.</w:t>
      </w:r>
      <w:bookmarkStart w:id="6" w:name="_GoBack"/>
      <w:bookmarkEnd w:id="6"/>
    </w:p>
    <w:sectPr w:rsidR="00BC4634" w:rsidSect="0091485A">
      <w:headerReference w:type="even" r:id="rId8"/>
      <w:headerReference w:type="default" r:id="rId9"/>
      <w:footerReference w:type="even" r:id="rId10"/>
      <w:footerReference w:type="default" r:id="rId11"/>
      <w:headerReference w:type="first" r:id="rId12"/>
      <w:footerReference w:type="first" r:id="rId13"/>
      <w:pgSz w:w="11909" w:h="16834"/>
      <w:pgMar w:top="993" w:right="851" w:bottom="851" w:left="1418" w:header="568"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B38" w:rsidRDefault="00362B38" w:rsidP="005237BD">
      <w:r>
        <w:separator/>
      </w:r>
    </w:p>
  </w:endnote>
  <w:endnote w:type="continuationSeparator" w:id="0">
    <w:p w:rsidR="00362B38" w:rsidRDefault="00362B38" w:rsidP="0052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0DC" w:rsidRDefault="002900DC">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7BD" w:rsidRPr="002900DC" w:rsidRDefault="00226BA6" w:rsidP="00226BA6">
    <w:pPr>
      <w:pStyle w:val="a9"/>
      <w:jc w:val="center"/>
    </w:pPr>
    <w:r>
      <w:fldChar w:fldCharType="begin"/>
    </w:r>
    <w:r>
      <w:instrText>PAGE   \* MERGEFORMAT</w:instrText>
    </w:r>
    <w:r>
      <w:fldChar w:fldCharType="separate"/>
    </w:r>
    <w:r w:rsidR="00C2575C">
      <w:rPr>
        <w:noProof/>
      </w:rPr>
      <w:t>3</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0DC" w:rsidRDefault="002900D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B38" w:rsidRDefault="00362B38" w:rsidP="005237BD">
      <w:r>
        <w:separator/>
      </w:r>
    </w:p>
  </w:footnote>
  <w:footnote w:type="continuationSeparator" w:id="0">
    <w:p w:rsidR="00362B38" w:rsidRDefault="00362B38" w:rsidP="005237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0DC" w:rsidRDefault="002900DC">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0DC" w:rsidRDefault="002900DC">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0DC" w:rsidRDefault="002900DC">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3EAB"/>
    <w:multiLevelType w:val="hybridMultilevel"/>
    <w:tmpl w:val="FE3E1BA4"/>
    <w:lvl w:ilvl="0" w:tplc="0C3A7C6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052515EA"/>
    <w:multiLevelType w:val="hybridMultilevel"/>
    <w:tmpl w:val="D7880D04"/>
    <w:lvl w:ilvl="0" w:tplc="E75C72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C500DA"/>
    <w:multiLevelType w:val="hybridMultilevel"/>
    <w:tmpl w:val="9014C4EA"/>
    <w:lvl w:ilvl="0" w:tplc="E75C72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F260D65"/>
    <w:multiLevelType w:val="hybridMultilevel"/>
    <w:tmpl w:val="34949384"/>
    <w:lvl w:ilvl="0" w:tplc="5C9C202A">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51213AC"/>
    <w:multiLevelType w:val="singleLevel"/>
    <w:tmpl w:val="E1040FF4"/>
    <w:lvl w:ilvl="0">
      <w:start w:val="1"/>
      <w:numFmt w:val="bullet"/>
      <w:lvlText w:val="–"/>
      <w:lvlJc w:val="left"/>
      <w:pPr>
        <w:tabs>
          <w:tab w:val="num" w:pos="360"/>
        </w:tabs>
        <w:ind w:left="360" w:hanging="36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19"/>
    <w:rsid w:val="0000223F"/>
    <w:rsid w:val="0000760F"/>
    <w:rsid w:val="00011A55"/>
    <w:rsid w:val="00013A33"/>
    <w:rsid w:val="000213E8"/>
    <w:rsid w:val="00032933"/>
    <w:rsid w:val="00037D50"/>
    <w:rsid w:val="0004322F"/>
    <w:rsid w:val="00044700"/>
    <w:rsid w:val="00055BE5"/>
    <w:rsid w:val="0005696A"/>
    <w:rsid w:val="00070882"/>
    <w:rsid w:val="00077AF0"/>
    <w:rsid w:val="000812DE"/>
    <w:rsid w:val="000822AE"/>
    <w:rsid w:val="00082F39"/>
    <w:rsid w:val="00083C9D"/>
    <w:rsid w:val="000A4732"/>
    <w:rsid w:val="000B3164"/>
    <w:rsid w:val="000B7AD2"/>
    <w:rsid w:val="000C126B"/>
    <w:rsid w:val="000C4D08"/>
    <w:rsid w:val="000D4E2A"/>
    <w:rsid w:val="000F4149"/>
    <w:rsid w:val="001004B4"/>
    <w:rsid w:val="001010A6"/>
    <w:rsid w:val="00101230"/>
    <w:rsid w:val="00124947"/>
    <w:rsid w:val="00125E3F"/>
    <w:rsid w:val="0012771C"/>
    <w:rsid w:val="00127EE0"/>
    <w:rsid w:val="00133D4C"/>
    <w:rsid w:val="0014028A"/>
    <w:rsid w:val="001403FC"/>
    <w:rsid w:val="00153D18"/>
    <w:rsid w:val="00157E63"/>
    <w:rsid w:val="00160F0E"/>
    <w:rsid w:val="00167E19"/>
    <w:rsid w:val="001768F4"/>
    <w:rsid w:val="00183CBB"/>
    <w:rsid w:val="00185F2F"/>
    <w:rsid w:val="001876DC"/>
    <w:rsid w:val="00191054"/>
    <w:rsid w:val="001A24F4"/>
    <w:rsid w:val="001A5F26"/>
    <w:rsid w:val="001B21A5"/>
    <w:rsid w:val="001C2C3D"/>
    <w:rsid w:val="001C6861"/>
    <w:rsid w:val="001D0B0D"/>
    <w:rsid w:val="001D218D"/>
    <w:rsid w:val="001D7699"/>
    <w:rsid w:val="001E4612"/>
    <w:rsid w:val="001E5BE2"/>
    <w:rsid w:val="001E7B13"/>
    <w:rsid w:val="001F66F5"/>
    <w:rsid w:val="002019FF"/>
    <w:rsid w:val="0020291D"/>
    <w:rsid w:val="00210814"/>
    <w:rsid w:val="00211F12"/>
    <w:rsid w:val="00214AAD"/>
    <w:rsid w:val="00224674"/>
    <w:rsid w:val="00226BA6"/>
    <w:rsid w:val="00260082"/>
    <w:rsid w:val="00262EC0"/>
    <w:rsid w:val="002704CD"/>
    <w:rsid w:val="00275784"/>
    <w:rsid w:val="00275BCB"/>
    <w:rsid w:val="002838C7"/>
    <w:rsid w:val="0028487E"/>
    <w:rsid w:val="00287287"/>
    <w:rsid w:val="00287977"/>
    <w:rsid w:val="002900DC"/>
    <w:rsid w:val="00296DB5"/>
    <w:rsid w:val="002974C3"/>
    <w:rsid w:val="002A1132"/>
    <w:rsid w:val="002A2BCC"/>
    <w:rsid w:val="002B0B45"/>
    <w:rsid w:val="002B0BF8"/>
    <w:rsid w:val="002B60AA"/>
    <w:rsid w:val="002B790F"/>
    <w:rsid w:val="002D7B4F"/>
    <w:rsid w:val="002E4A19"/>
    <w:rsid w:val="002F698D"/>
    <w:rsid w:val="00310CA3"/>
    <w:rsid w:val="0031240A"/>
    <w:rsid w:val="003164FC"/>
    <w:rsid w:val="00320611"/>
    <w:rsid w:val="00323E6A"/>
    <w:rsid w:val="00326DF7"/>
    <w:rsid w:val="00340740"/>
    <w:rsid w:val="00340FA4"/>
    <w:rsid w:val="00342381"/>
    <w:rsid w:val="003610EF"/>
    <w:rsid w:val="00362B38"/>
    <w:rsid w:val="00365D89"/>
    <w:rsid w:val="0036758E"/>
    <w:rsid w:val="00367B20"/>
    <w:rsid w:val="00372ADE"/>
    <w:rsid w:val="00377065"/>
    <w:rsid w:val="00393ED5"/>
    <w:rsid w:val="003C2867"/>
    <w:rsid w:val="003D3157"/>
    <w:rsid w:val="003D6AF5"/>
    <w:rsid w:val="003D6BF4"/>
    <w:rsid w:val="003E3486"/>
    <w:rsid w:val="003E6C82"/>
    <w:rsid w:val="003F21CB"/>
    <w:rsid w:val="004136EF"/>
    <w:rsid w:val="004212EC"/>
    <w:rsid w:val="004236FC"/>
    <w:rsid w:val="00424A1D"/>
    <w:rsid w:val="0042715D"/>
    <w:rsid w:val="00430213"/>
    <w:rsid w:val="00435B55"/>
    <w:rsid w:val="00435F34"/>
    <w:rsid w:val="00443076"/>
    <w:rsid w:val="00443FA4"/>
    <w:rsid w:val="004508DD"/>
    <w:rsid w:val="00451646"/>
    <w:rsid w:val="00462569"/>
    <w:rsid w:val="00463C50"/>
    <w:rsid w:val="004658A5"/>
    <w:rsid w:val="00465F51"/>
    <w:rsid w:val="0047313F"/>
    <w:rsid w:val="00483BFE"/>
    <w:rsid w:val="00490435"/>
    <w:rsid w:val="00491C9E"/>
    <w:rsid w:val="00492E2D"/>
    <w:rsid w:val="00495FAB"/>
    <w:rsid w:val="004A0F95"/>
    <w:rsid w:val="004A5F32"/>
    <w:rsid w:val="004A6854"/>
    <w:rsid w:val="004B2CE6"/>
    <w:rsid w:val="004B6256"/>
    <w:rsid w:val="004C6511"/>
    <w:rsid w:val="004D1A25"/>
    <w:rsid w:val="004D2127"/>
    <w:rsid w:val="004D28F4"/>
    <w:rsid w:val="004D405C"/>
    <w:rsid w:val="004D4115"/>
    <w:rsid w:val="004F1E93"/>
    <w:rsid w:val="004F63D6"/>
    <w:rsid w:val="00504512"/>
    <w:rsid w:val="005124AF"/>
    <w:rsid w:val="005224B7"/>
    <w:rsid w:val="00522D94"/>
    <w:rsid w:val="005237BD"/>
    <w:rsid w:val="00527BE7"/>
    <w:rsid w:val="005309F1"/>
    <w:rsid w:val="00540758"/>
    <w:rsid w:val="00553C65"/>
    <w:rsid w:val="005606FF"/>
    <w:rsid w:val="0058326E"/>
    <w:rsid w:val="00591CD4"/>
    <w:rsid w:val="005A549E"/>
    <w:rsid w:val="005C0037"/>
    <w:rsid w:val="005C7685"/>
    <w:rsid w:val="005D1D0C"/>
    <w:rsid w:val="005D27E3"/>
    <w:rsid w:val="005E30C1"/>
    <w:rsid w:val="005E37EF"/>
    <w:rsid w:val="005E439D"/>
    <w:rsid w:val="005E43A6"/>
    <w:rsid w:val="005E45E7"/>
    <w:rsid w:val="005E5240"/>
    <w:rsid w:val="005E5D66"/>
    <w:rsid w:val="005F0FD2"/>
    <w:rsid w:val="005F5C65"/>
    <w:rsid w:val="006029AD"/>
    <w:rsid w:val="00604982"/>
    <w:rsid w:val="0060523C"/>
    <w:rsid w:val="00607BBC"/>
    <w:rsid w:val="00611942"/>
    <w:rsid w:val="006124FA"/>
    <w:rsid w:val="00625EF1"/>
    <w:rsid w:val="00630AFD"/>
    <w:rsid w:val="00635064"/>
    <w:rsid w:val="00642B37"/>
    <w:rsid w:val="0064500E"/>
    <w:rsid w:val="0064602B"/>
    <w:rsid w:val="00647B6F"/>
    <w:rsid w:val="006644EB"/>
    <w:rsid w:val="0066749D"/>
    <w:rsid w:val="00676E9B"/>
    <w:rsid w:val="0068361E"/>
    <w:rsid w:val="00692670"/>
    <w:rsid w:val="006A3E7B"/>
    <w:rsid w:val="006B1A20"/>
    <w:rsid w:val="006B1CCA"/>
    <w:rsid w:val="006B2B96"/>
    <w:rsid w:val="006B6501"/>
    <w:rsid w:val="006D24BC"/>
    <w:rsid w:val="006E2534"/>
    <w:rsid w:val="006F06BC"/>
    <w:rsid w:val="006F725B"/>
    <w:rsid w:val="006F7BA2"/>
    <w:rsid w:val="00704A6B"/>
    <w:rsid w:val="00704E42"/>
    <w:rsid w:val="0071211E"/>
    <w:rsid w:val="0071543C"/>
    <w:rsid w:val="0072099E"/>
    <w:rsid w:val="007257EE"/>
    <w:rsid w:val="00740747"/>
    <w:rsid w:val="00740AA4"/>
    <w:rsid w:val="00743875"/>
    <w:rsid w:val="007511CB"/>
    <w:rsid w:val="00756AB3"/>
    <w:rsid w:val="00762697"/>
    <w:rsid w:val="007669F8"/>
    <w:rsid w:val="00781B6F"/>
    <w:rsid w:val="00781B75"/>
    <w:rsid w:val="00795C88"/>
    <w:rsid w:val="007C2B51"/>
    <w:rsid w:val="007C6A73"/>
    <w:rsid w:val="007D5497"/>
    <w:rsid w:val="007D5EB6"/>
    <w:rsid w:val="007E65F3"/>
    <w:rsid w:val="007F0A40"/>
    <w:rsid w:val="007F2B47"/>
    <w:rsid w:val="007F54AD"/>
    <w:rsid w:val="007F73E2"/>
    <w:rsid w:val="00803682"/>
    <w:rsid w:val="008106F2"/>
    <w:rsid w:val="00811592"/>
    <w:rsid w:val="00812D35"/>
    <w:rsid w:val="00815715"/>
    <w:rsid w:val="0082246F"/>
    <w:rsid w:val="0082264C"/>
    <w:rsid w:val="00833337"/>
    <w:rsid w:val="00836435"/>
    <w:rsid w:val="008368F7"/>
    <w:rsid w:val="00841074"/>
    <w:rsid w:val="008454B5"/>
    <w:rsid w:val="0086208E"/>
    <w:rsid w:val="008925DF"/>
    <w:rsid w:val="0089359B"/>
    <w:rsid w:val="00895E7B"/>
    <w:rsid w:val="008B0570"/>
    <w:rsid w:val="008B24B3"/>
    <w:rsid w:val="008B4716"/>
    <w:rsid w:val="008C5470"/>
    <w:rsid w:val="008D000F"/>
    <w:rsid w:val="008E0319"/>
    <w:rsid w:val="008E14C5"/>
    <w:rsid w:val="008E374A"/>
    <w:rsid w:val="008F11B1"/>
    <w:rsid w:val="008F780C"/>
    <w:rsid w:val="00912871"/>
    <w:rsid w:val="009143AF"/>
    <w:rsid w:val="0091485A"/>
    <w:rsid w:val="0091728E"/>
    <w:rsid w:val="00920AED"/>
    <w:rsid w:val="00922558"/>
    <w:rsid w:val="00930448"/>
    <w:rsid w:val="00934A5D"/>
    <w:rsid w:val="00940A3D"/>
    <w:rsid w:val="0095487D"/>
    <w:rsid w:val="00983FA2"/>
    <w:rsid w:val="0098614F"/>
    <w:rsid w:val="009B3CBC"/>
    <w:rsid w:val="009C06EB"/>
    <w:rsid w:val="009F5E22"/>
    <w:rsid w:val="009F6D79"/>
    <w:rsid w:val="00A01324"/>
    <w:rsid w:val="00A102F3"/>
    <w:rsid w:val="00A17674"/>
    <w:rsid w:val="00A244B1"/>
    <w:rsid w:val="00A4062E"/>
    <w:rsid w:val="00A45E29"/>
    <w:rsid w:val="00A51963"/>
    <w:rsid w:val="00A56D1A"/>
    <w:rsid w:val="00A607B1"/>
    <w:rsid w:val="00A66250"/>
    <w:rsid w:val="00A7264B"/>
    <w:rsid w:val="00A7774C"/>
    <w:rsid w:val="00A87A16"/>
    <w:rsid w:val="00A96A90"/>
    <w:rsid w:val="00AA0DFB"/>
    <w:rsid w:val="00AA6ED8"/>
    <w:rsid w:val="00AB0A2D"/>
    <w:rsid w:val="00AB0C57"/>
    <w:rsid w:val="00AB2287"/>
    <w:rsid w:val="00AB5420"/>
    <w:rsid w:val="00AC0F13"/>
    <w:rsid w:val="00AC1696"/>
    <w:rsid w:val="00AC73DF"/>
    <w:rsid w:val="00AD57E9"/>
    <w:rsid w:val="00AE01AF"/>
    <w:rsid w:val="00AE1C8F"/>
    <w:rsid w:val="00AF14AD"/>
    <w:rsid w:val="00AF4FF0"/>
    <w:rsid w:val="00AF61B8"/>
    <w:rsid w:val="00B0631E"/>
    <w:rsid w:val="00B11795"/>
    <w:rsid w:val="00B15DD1"/>
    <w:rsid w:val="00B1625B"/>
    <w:rsid w:val="00B16656"/>
    <w:rsid w:val="00B16DA3"/>
    <w:rsid w:val="00B321DF"/>
    <w:rsid w:val="00B4003F"/>
    <w:rsid w:val="00B40DF8"/>
    <w:rsid w:val="00B42046"/>
    <w:rsid w:val="00B4773E"/>
    <w:rsid w:val="00B53417"/>
    <w:rsid w:val="00B5352E"/>
    <w:rsid w:val="00B559A7"/>
    <w:rsid w:val="00B63D0D"/>
    <w:rsid w:val="00B660B8"/>
    <w:rsid w:val="00B72E6F"/>
    <w:rsid w:val="00B767A6"/>
    <w:rsid w:val="00B76B5E"/>
    <w:rsid w:val="00B76F92"/>
    <w:rsid w:val="00B816BC"/>
    <w:rsid w:val="00B83B19"/>
    <w:rsid w:val="00B9181D"/>
    <w:rsid w:val="00B97755"/>
    <w:rsid w:val="00BB2422"/>
    <w:rsid w:val="00BC38F0"/>
    <w:rsid w:val="00BC431C"/>
    <w:rsid w:val="00BC4634"/>
    <w:rsid w:val="00BD1FAD"/>
    <w:rsid w:val="00BE5403"/>
    <w:rsid w:val="00BE79CD"/>
    <w:rsid w:val="00BF005D"/>
    <w:rsid w:val="00C22E53"/>
    <w:rsid w:val="00C2575C"/>
    <w:rsid w:val="00C522D6"/>
    <w:rsid w:val="00C52EE1"/>
    <w:rsid w:val="00C56C85"/>
    <w:rsid w:val="00C6217A"/>
    <w:rsid w:val="00C64ABF"/>
    <w:rsid w:val="00C766E6"/>
    <w:rsid w:val="00C854AA"/>
    <w:rsid w:val="00C92FE6"/>
    <w:rsid w:val="00C93CB7"/>
    <w:rsid w:val="00C94B9C"/>
    <w:rsid w:val="00C97B2F"/>
    <w:rsid w:val="00CA1700"/>
    <w:rsid w:val="00CA3203"/>
    <w:rsid w:val="00CA7F1E"/>
    <w:rsid w:val="00CC33B6"/>
    <w:rsid w:val="00CC3E8C"/>
    <w:rsid w:val="00CC534F"/>
    <w:rsid w:val="00CD4E43"/>
    <w:rsid w:val="00CD7ED0"/>
    <w:rsid w:val="00CE18FF"/>
    <w:rsid w:val="00CF30BB"/>
    <w:rsid w:val="00D01C55"/>
    <w:rsid w:val="00D05E98"/>
    <w:rsid w:val="00D061AE"/>
    <w:rsid w:val="00D110F3"/>
    <w:rsid w:val="00D120D4"/>
    <w:rsid w:val="00D20235"/>
    <w:rsid w:val="00D20E43"/>
    <w:rsid w:val="00D2414F"/>
    <w:rsid w:val="00D277AB"/>
    <w:rsid w:val="00D30EF0"/>
    <w:rsid w:val="00D34E56"/>
    <w:rsid w:val="00D47972"/>
    <w:rsid w:val="00D50DE6"/>
    <w:rsid w:val="00D51F89"/>
    <w:rsid w:val="00D528D3"/>
    <w:rsid w:val="00D55E26"/>
    <w:rsid w:val="00D6192D"/>
    <w:rsid w:val="00D71FF3"/>
    <w:rsid w:val="00D73013"/>
    <w:rsid w:val="00DA49F3"/>
    <w:rsid w:val="00DB0259"/>
    <w:rsid w:val="00DC2F33"/>
    <w:rsid w:val="00DD3B11"/>
    <w:rsid w:val="00DD4463"/>
    <w:rsid w:val="00DE0E9B"/>
    <w:rsid w:val="00DF1C7E"/>
    <w:rsid w:val="00E02CB8"/>
    <w:rsid w:val="00E05698"/>
    <w:rsid w:val="00E15519"/>
    <w:rsid w:val="00E16AFB"/>
    <w:rsid w:val="00E316DB"/>
    <w:rsid w:val="00E3629F"/>
    <w:rsid w:val="00E37507"/>
    <w:rsid w:val="00E407AF"/>
    <w:rsid w:val="00E47050"/>
    <w:rsid w:val="00E54580"/>
    <w:rsid w:val="00E54E27"/>
    <w:rsid w:val="00E6039D"/>
    <w:rsid w:val="00E7098C"/>
    <w:rsid w:val="00E72B0D"/>
    <w:rsid w:val="00E73535"/>
    <w:rsid w:val="00E7613C"/>
    <w:rsid w:val="00E76B64"/>
    <w:rsid w:val="00E80F44"/>
    <w:rsid w:val="00E81F29"/>
    <w:rsid w:val="00EA110F"/>
    <w:rsid w:val="00EC1EE9"/>
    <w:rsid w:val="00EC4A99"/>
    <w:rsid w:val="00EC7D89"/>
    <w:rsid w:val="00EF303D"/>
    <w:rsid w:val="00F014B3"/>
    <w:rsid w:val="00F0741A"/>
    <w:rsid w:val="00F1003A"/>
    <w:rsid w:val="00F25A23"/>
    <w:rsid w:val="00F405D5"/>
    <w:rsid w:val="00F40603"/>
    <w:rsid w:val="00F50150"/>
    <w:rsid w:val="00F505A8"/>
    <w:rsid w:val="00F60DB0"/>
    <w:rsid w:val="00F70404"/>
    <w:rsid w:val="00F712AD"/>
    <w:rsid w:val="00F7490C"/>
    <w:rsid w:val="00F75410"/>
    <w:rsid w:val="00F76943"/>
    <w:rsid w:val="00F85792"/>
    <w:rsid w:val="00F92A8C"/>
    <w:rsid w:val="00F97BEC"/>
    <w:rsid w:val="00FA126A"/>
    <w:rsid w:val="00FE74CF"/>
    <w:rsid w:val="00FF0141"/>
    <w:rsid w:val="00FF1231"/>
    <w:rsid w:val="00FF4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64FC0DC-BE03-42E9-97D4-B13845D20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rPr>
  </w:style>
  <w:style w:type="paragraph" w:styleId="2">
    <w:name w:val="heading 2"/>
    <w:basedOn w:val="a"/>
    <w:next w:val="a"/>
    <w:link w:val="20"/>
    <w:uiPriority w:val="9"/>
    <w:semiHidden/>
    <w:unhideWhenUsed/>
    <w:qFormat/>
    <w:rsid w:val="007669F8"/>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snapToGrid w:val="0"/>
      <w:sz w:val="28"/>
      <w:szCs w:val="20"/>
    </w:rPr>
  </w:style>
  <w:style w:type="paragraph" w:styleId="21">
    <w:name w:val="Body Text 2"/>
    <w:basedOn w:val="a"/>
    <w:pPr>
      <w:jc w:val="both"/>
    </w:pPr>
    <w:rPr>
      <w:b/>
      <w:i/>
    </w:rPr>
  </w:style>
  <w:style w:type="paragraph" w:styleId="3">
    <w:name w:val="Body Text 3"/>
    <w:basedOn w:val="a"/>
    <w:pPr>
      <w:jc w:val="both"/>
    </w:pPr>
  </w:style>
  <w:style w:type="paragraph" w:styleId="a4">
    <w:name w:val="Body Text Indent"/>
    <w:basedOn w:val="a"/>
    <w:pPr>
      <w:ind w:left="180" w:hanging="180"/>
      <w:jc w:val="both"/>
    </w:pPr>
  </w:style>
  <w:style w:type="character" w:customStyle="1" w:styleId="hps">
    <w:name w:val="hps"/>
    <w:basedOn w:val="a0"/>
    <w:rsid w:val="000F4149"/>
  </w:style>
  <w:style w:type="paragraph" w:styleId="z-">
    <w:name w:val="HTML Top of Form"/>
    <w:basedOn w:val="a"/>
    <w:next w:val="a"/>
    <w:link w:val="z-0"/>
    <w:hidden/>
    <w:uiPriority w:val="99"/>
    <w:semiHidden/>
    <w:unhideWhenUsed/>
    <w:rsid w:val="00AF4FF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sid w:val="00AF4FF0"/>
    <w:rPr>
      <w:rFonts w:ascii="Arial" w:hAnsi="Arial" w:cs="Arial"/>
      <w:vanish/>
      <w:sz w:val="16"/>
      <w:szCs w:val="16"/>
    </w:rPr>
  </w:style>
  <w:style w:type="paragraph" w:styleId="z-1">
    <w:name w:val="HTML Bottom of Form"/>
    <w:basedOn w:val="a"/>
    <w:next w:val="a"/>
    <w:link w:val="z-2"/>
    <w:hidden/>
    <w:uiPriority w:val="99"/>
    <w:semiHidden/>
    <w:unhideWhenUsed/>
    <w:rsid w:val="00AF4FF0"/>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sid w:val="00AF4FF0"/>
    <w:rPr>
      <w:rFonts w:ascii="Arial" w:hAnsi="Arial" w:cs="Arial"/>
      <w:vanish/>
      <w:sz w:val="16"/>
      <w:szCs w:val="16"/>
    </w:rPr>
  </w:style>
  <w:style w:type="character" w:customStyle="1" w:styleId="atn">
    <w:name w:val="atn"/>
    <w:basedOn w:val="a0"/>
    <w:rsid w:val="001403FC"/>
  </w:style>
  <w:style w:type="character" w:customStyle="1" w:styleId="longtext">
    <w:name w:val="long_text"/>
    <w:basedOn w:val="a0"/>
    <w:rsid w:val="00287977"/>
  </w:style>
  <w:style w:type="paragraph" w:styleId="a5">
    <w:name w:val="Balloon Text"/>
    <w:basedOn w:val="a"/>
    <w:link w:val="a6"/>
    <w:uiPriority w:val="99"/>
    <w:semiHidden/>
    <w:unhideWhenUsed/>
    <w:rsid w:val="00D55E26"/>
    <w:rPr>
      <w:rFonts w:ascii="Tahoma" w:hAnsi="Tahoma" w:cs="Tahoma"/>
      <w:sz w:val="16"/>
      <w:szCs w:val="16"/>
    </w:rPr>
  </w:style>
  <w:style w:type="character" w:customStyle="1" w:styleId="a6">
    <w:name w:val="Текст выноски Знак"/>
    <w:link w:val="a5"/>
    <w:uiPriority w:val="99"/>
    <w:semiHidden/>
    <w:rsid w:val="00D55E26"/>
    <w:rPr>
      <w:rFonts w:ascii="Tahoma" w:hAnsi="Tahoma" w:cs="Tahoma"/>
      <w:sz w:val="16"/>
      <w:szCs w:val="16"/>
    </w:rPr>
  </w:style>
  <w:style w:type="paragraph" w:styleId="a7">
    <w:name w:val="header"/>
    <w:basedOn w:val="a"/>
    <w:link w:val="a8"/>
    <w:uiPriority w:val="99"/>
    <w:unhideWhenUsed/>
    <w:rsid w:val="005237BD"/>
    <w:pPr>
      <w:tabs>
        <w:tab w:val="center" w:pos="4677"/>
        <w:tab w:val="right" w:pos="9355"/>
      </w:tabs>
    </w:pPr>
  </w:style>
  <w:style w:type="character" w:customStyle="1" w:styleId="a8">
    <w:name w:val="Верхний колонтитул Знак"/>
    <w:link w:val="a7"/>
    <w:uiPriority w:val="99"/>
    <w:rsid w:val="005237BD"/>
    <w:rPr>
      <w:sz w:val="24"/>
      <w:szCs w:val="24"/>
    </w:rPr>
  </w:style>
  <w:style w:type="paragraph" w:styleId="a9">
    <w:name w:val="footer"/>
    <w:basedOn w:val="a"/>
    <w:link w:val="aa"/>
    <w:uiPriority w:val="99"/>
    <w:unhideWhenUsed/>
    <w:rsid w:val="005237BD"/>
    <w:pPr>
      <w:tabs>
        <w:tab w:val="center" w:pos="4677"/>
        <w:tab w:val="right" w:pos="9355"/>
      </w:tabs>
    </w:pPr>
  </w:style>
  <w:style w:type="character" w:customStyle="1" w:styleId="aa">
    <w:name w:val="Нижний колонтитул Знак"/>
    <w:link w:val="a9"/>
    <w:uiPriority w:val="99"/>
    <w:rsid w:val="005237BD"/>
    <w:rPr>
      <w:sz w:val="24"/>
      <w:szCs w:val="24"/>
    </w:rPr>
  </w:style>
  <w:style w:type="paragraph" w:customStyle="1" w:styleId="rvps2">
    <w:name w:val="rvps2"/>
    <w:basedOn w:val="a"/>
    <w:rsid w:val="00491C9E"/>
    <w:pPr>
      <w:spacing w:before="100" w:beforeAutospacing="1" w:after="100" w:afterAutospacing="1"/>
    </w:pPr>
  </w:style>
  <w:style w:type="character" w:customStyle="1" w:styleId="rvts11">
    <w:name w:val="rvts11"/>
    <w:rsid w:val="00491C9E"/>
  </w:style>
  <w:style w:type="character" w:customStyle="1" w:styleId="shorttext">
    <w:name w:val="short_text"/>
    <w:rsid w:val="004136EF"/>
  </w:style>
  <w:style w:type="character" w:customStyle="1" w:styleId="20">
    <w:name w:val="Заголовок 2 Знак"/>
    <w:link w:val="2"/>
    <w:uiPriority w:val="9"/>
    <w:semiHidden/>
    <w:rsid w:val="007669F8"/>
    <w:rPr>
      <w:rFonts w:ascii="Calibri Light" w:eastAsia="Times New Roman" w:hAnsi="Calibri Light" w:cs="Times New Roman"/>
      <w:b/>
      <w:bCs/>
      <w:i/>
      <w:iCs/>
      <w:sz w:val="28"/>
      <w:szCs w:val="28"/>
    </w:rPr>
  </w:style>
  <w:style w:type="character" w:customStyle="1" w:styleId="tlid-translation">
    <w:name w:val="tlid-translation"/>
    <w:rsid w:val="00B97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49887">
      <w:bodyDiv w:val="1"/>
      <w:marLeft w:val="0"/>
      <w:marRight w:val="0"/>
      <w:marTop w:val="0"/>
      <w:marBottom w:val="0"/>
      <w:divBdr>
        <w:top w:val="none" w:sz="0" w:space="0" w:color="auto"/>
        <w:left w:val="none" w:sz="0" w:space="0" w:color="auto"/>
        <w:bottom w:val="none" w:sz="0" w:space="0" w:color="auto"/>
        <w:right w:val="none" w:sz="0" w:space="0" w:color="auto"/>
      </w:divBdr>
      <w:divsChild>
        <w:div w:id="923106766">
          <w:marLeft w:val="0"/>
          <w:marRight w:val="0"/>
          <w:marTop w:val="0"/>
          <w:marBottom w:val="0"/>
          <w:divBdr>
            <w:top w:val="none" w:sz="0" w:space="0" w:color="auto"/>
            <w:left w:val="none" w:sz="0" w:space="0" w:color="auto"/>
            <w:bottom w:val="none" w:sz="0" w:space="0" w:color="auto"/>
            <w:right w:val="none" w:sz="0" w:space="0" w:color="auto"/>
          </w:divBdr>
          <w:divsChild>
            <w:div w:id="1511989158">
              <w:marLeft w:val="0"/>
              <w:marRight w:val="0"/>
              <w:marTop w:val="0"/>
              <w:marBottom w:val="0"/>
              <w:divBdr>
                <w:top w:val="none" w:sz="0" w:space="0" w:color="auto"/>
                <w:left w:val="none" w:sz="0" w:space="0" w:color="auto"/>
                <w:bottom w:val="none" w:sz="0" w:space="0" w:color="auto"/>
                <w:right w:val="none" w:sz="0" w:space="0" w:color="auto"/>
              </w:divBdr>
              <w:divsChild>
                <w:div w:id="348220794">
                  <w:marLeft w:val="0"/>
                  <w:marRight w:val="0"/>
                  <w:marTop w:val="0"/>
                  <w:marBottom w:val="0"/>
                  <w:divBdr>
                    <w:top w:val="none" w:sz="0" w:space="0" w:color="auto"/>
                    <w:left w:val="none" w:sz="0" w:space="0" w:color="auto"/>
                    <w:bottom w:val="none" w:sz="0" w:space="0" w:color="auto"/>
                    <w:right w:val="none" w:sz="0" w:space="0" w:color="auto"/>
                  </w:divBdr>
                  <w:divsChild>
                    <w:div w:id="955135284">
                      <w:marLeft w:val="0"/>
                      <w:marRight w:val="0"/>
                      <w:marTop w:val="0"/>
                      <w:marBottom w:val="0"/>
                      <w:divBdr>
                        <w:top w:val="none" w:sz="0" w:space="0" w:color="auto"/>
                        <w:left w:val="none" w:sz="0" w:space="0" w:color="auto"/>
                        <w:bottom w:val="none" w:sz="0" w:space="0" w:color="auto"/>
                        <w:right w:val="none" w:sz="0" w:space="0" w:color="auto"/>
                      </w:divBdr>
                    </w:div>
                  </w:divsChild>
                </w:div>
                <w:div w:id="1711370240">
                  <w:marLeft w:val="0"/>
                  <w:marRight w:val="0"/>
                  <w:marTop w:val="0"/>
                  <w:marBottom w:val="0"/>
                  <w:divBdr>
                    <w:top w:val="none" w:sz="0" w:space="0" w:color="auto"/>
                    <w:left w:val="none" w:sz="0" w:space="0" w:color="auto"/>
                    <w:bottom w:val="none" w:sz="0" w:space="0" w:color="auto"/>
                    <w:right w:val="none" w:sz="0" w:space="0" w:color="auto"/>
                  </w:divBdr>
                  <w:divsChild>
                    <w:div w:id="1922330024">
                      <w:marLeft w:val="0"/>
                      <w:marRight w:val="0"/>
                      <w:marTop w:val="0"/>
                      <w:marBottom w:val="0"/>
                      <w:divBdr>
                        <w:top w:val="none" w:sz="0" w:space="0" w:color="auto"/>
                        <w:left w:val="none" w:sz="0" w:space="0" w:color="auto"/>
                        <w:bottom w:val="none" w:sz="0" w:space="0" w:color="auto"/>
                        <w:right w:val="none" w:sz="0" w:space="0" w:color="auto"/>
                      </w:divBdr>
                      <w:divsChild>
                        <w:div w:id="555165882">
                          <w:marLeft w:val="0"/>
                          <w:marRight w:val="0"/>
                          <w:marTop w:val="0"/>
                          <w:marBottom w:val="0"/>
                          <w:divBdr>
                            <w:top w:val="none" w:sz="0" w:space="0" w:color="auto"/>
                            <w:left w:val="none" w:sz="0" w:space="0" w:color="auto"/>
                            <w:bottom w:val="none" w:sz="0" w:space="0" w:color="auto"/>
                            <w:right w:val="none" w:sz="0" w:space="0" w:color="auto"/>
                          </w:divBdr>
                          <w:divsChild>
                            <w:div w:id="922687647">
                              <w:marLeft w:val="0"/>
                              <w:marRight w:val="0"/>
                              <w:marTop w:val="0"/>
                              <w:marBottom w:val="0"/>
                              <w:divBdr>
                                <w:top w:val="none" w:sz="0" w:space="0" w:color="auto"/>
                                <w:left w:val="none" w:sz="0" w:space="0" w:color="auto"/>
                                <w:bottom w:val="none" w:sz="0" w:space="0" w:color="auto"/>
                                <w:right w:val="none" w:sz="0" w:space="0" w:color="auto"/>
                              </w:divBdr>
                              <w:divsChild>
                                <w:div w:id="1562985058">
                                  <w:marLeft w:val="0"/>
                                  <w:marRight w:val="0"/>
                                  <w:marTop w:val="0"/>
                                  <w:marBottom w:val="0"/>
                                  <w:divBdr>
                                    <w:top w:val="none" w:sz="0" w:space="0" w:color="auto"/>
                                    <w:left w:val="none" w:sz="0" w:space="0" w:color="auto"/>
                                    <w:bottom w:val="none" w:sz="0" w:space="0" w:color="auto"/>
                                    <w:right w:val="none" w:sz="0" w:space="0" w:color="auto"/>
                                  </w:divBdr>
                                  <w:divsChild>
                                    <w:div w:id="35215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3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4724170">
      <w:bodyDiv w:val="1"/>
      <w:marLeft w:val="0"/>
      <w:marRight w:val="0"/>
      <w:marTop w:val="0"/>
      <w:marBottom w:val="0"/>
      <w:divBdr>
        <w:top w:val="none" w:sz="0" w:space="0" w:color="auto"/>
        <w:left w:val="none" w:sz="0" w:space="0" w:color="auto"/>
        <w:bottom w:val="none" w:sz="0" w:space="0" w:color="auto"/>
        <w:right w:val="none" w:sz="0" w:space="0" w:color="auto"/>
      </w:divBdr>
    </w:div>
    <w:div w:id="1390299462">
      <w:bodyDiv w:val="1"/>
      <w:marLeft w:val="0"/>
      <w:marRight w:val="0"/>
      <w:marTop w:val="0"/>
      <w:marBottom w:val="0"/>
      <w:divBdr>
        <w:top w:val="none" w:sz="0" w:space="0" w:color="auto"/>
        <w:left w:val="none" w:sz="0" w:space="0" w:color="auto"/>
        <w:bottom w:val="none" w:sz="0" w:space="0" w:color="auto"/>
        <w:right w:val="none" w:sz="0" w:space="0" w:color="auto"/>
      </w:divBdr>
      <w:divsChild>
        <w:div w:id="1962296597">
          <w:marLeft w:val="0"/>
          <w:marRight w:val="0"/>
          <w:marTop w:val="0"/>
          <w:marBottom w:val="0"/>
          <w:divBdr>
            <w:top w:val="none" w:sz="0" w:space="0" w:color="auto"/>
            <w:left w:val="none" w:sz="0" w:space="0" w:color="auto"/>
            <w:bottom w:val="none" w:sz="0" w:space="0" w:color="auto"/>
            <w:right w:val="none" w:sz="0" w:space="0" w:color="auto"/>
          </w:divBdr>
          <w:divsChild>
            <w:div w:id="1043407567">
              <w:marLeft w:val="0"/>
              <w:marRight w:val="0"/>
              <w:marTop w:val="0"/>
              <w:marBottom w:val="0"/>
              <w:divBdr>
                <w:top w:val="none" w:sz="0" w:space="0" w:color="auto"/>
                <w:left w:val="none" w:sz="0" w:space="0" w:color="auto"/>
                <w:bottom w:val="none" w:sz="0" w:space="0" w:color="auto"/>
                <w:right w:val="none" w:sz="0" w:space="0" w:color="auto"/>
              </w:divBdr>
              <w:divsChild>
                <w:div w:id="1860775991">
                  <w:marLeft w:val="0"/>
                  <w:marRight w:val="0"/>
                  <w:marTop w:val="0"/>
                  <w:marBottom w:val="0"/>
                  <w:divBdr>
                    <w:top w:val="none" w:sz="0" w:space="0" w:color="auto"/>
                    <w:left w:val="none" w:sz="0" w:space="0" w:color="auto"/>
                    <w:bottom w:val="none" w:sz="0" w:space="0" w:color="auto"/>
                    <w:right w:val="none" w:sz="0" w:space="0" w:color="auto"/>
                  </w:divBdr>
                  <w:divsChild>
                    <w:div w:id="1984851094">
                      <w:marLeft w:val="0"/>
                      <w:marRight w:val="0"/>
                      <w:marTop w:val="0"/>
                      <w:marBottom w:val="0"/>
                      <w:divBdr>
                        <w:top w:val="none" w:sz="0" w:space="0" w:color="auto"/>
                        <w:left w:val="none" w:sz="0" w:space="0" w:color="auto"/>
                        <w:bottom w:val="none" w:sz="0" w:space="0" w:color="auto"/>
                        <w:right w:val="none" w:sz="0" w:space="0" w:color="auto"/>
                      </w:divBdr>
                      <w:divsChild>
                        <w:div w:id="1352141971">
                          <w:marLeft w:val="0"/>
                          <w:marRight w:val="0"/>
                          <w:marTop w:val="0"/>
                          <w:marBottom w:val="0"/>
                          <w:divBdr>
                            <w:top w:val="none" w:sz="0" w:space="0" w:color="auto"/>
                            <w:left w:val="none" w:sz="0" w:space="0" w:color="auto"/>
                            <w:bottom w:val="none" w:sz="0" w:space="0" w:color="auto"/>
                            <w:right w:val="none" w:sz="0" w:space="0" w:color="auto"/>
                          </w:divBdr>
                          <w:divsChild>
                            <w:div w:id="17493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64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246A3-A988-4E2A-80AC-B87014E8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963</Words>
  <Characters>5495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serg</dc:creator>
  <cp:lastModifiedBy>Savchenko_Dmytro</cp:lastModifiedBy>
  <cp:revision>3</cp:revision>
  <cp:lastPrinted>2019-09-18T12:57:00Z</cp:lastPrinted>
  <dcterms:created xsi:type="dcterms:W3CDTF">2021-03-15T12:14:00Z</dcterms:created>
  <dcterms:modified xsi:type="dcterms:W3CDTF">2021-03-16T15:28:00Z</dcterms:modified>
</cp:coreProperties>
</file>