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700DD" w14:textId="77777777" w:rsidR="005237BD" w:rsidRPr="00D42FEF" w:rsidRDefault="005237BD" w:rsidP="00D42FEF">
      <w:pPr>
        <w:pStyle w:val="a3"/>
        <w:ind w:left="5954"/>
        <w:jc w:val="center"/>
        <w:rPr>
          <w:b/>
          <w:bCs/>
          <w:sz w:val="24"/>
          <w:szCs w:val="24"/>
        </w:rPr>
      </w:pPr>
      <w:r w:rsidRPr="00D42FEF">
        <w:rPr>
          <w:b/>
          <w:bCs/>
          <w:sz w:val="24"/>
          <w:szCs w:val="24"/>
        </w:rPr>
        <w:t>УТВЕРЖДЕНО</w:t>
      </w:r>
    </w:p>
    <w:p w14:paraId="00C4FCC3" w14:textId="77777777" w:rsidR="00874EA4" w:rsidRDefault="005237BD" w:rsidP="00D42FEF">
      <w:pPr>
        <w:pStyle w:val="a3"/>
        <w:ind w:left="5954"/>
        <w:jc w:val="center"/>
        <w:rPr>
          <w:b/>
          <w:bCs/>
          <w:sz w:val="24"/>
          <w:szCs w:val="24"/>
        </w:rPr>
      </w:pPr>
      <w:r w:rsidRPr="00D42FEF">
        <w:rPr>
          <w:b/>
          <w:bCs/>
          <w:sz w:val="24"/>
          <w:szCs w:val="24"/>
        </w:rPr>
        <w:t xml:space="preserve">Приказ Министерства </w:t>
      </w:r>
    </w:p>
    <w:p w14:paraId="4C4700DE" w14:textId="1BD9775D" w:rsidR="005237BD" w:rsidRPr="00D42FEF" w:rsidRDefault="005237BD" w:rsidP="00D42FEF">
      <w:pPr>
        <w:pStyle w:val="a3"/>
        <w:ind w:left="5954"/>
        <w:jc w:val="center"/>
        <w:rPr>
          <w:b/>
          <w:bCs/>
          <w:sz w:val="24"/>
          <w:szCs w:val="24"/>
        </w:rPr>
      </w:pPr>
      <w:r w:rsidRPr="00D42FEF">
        <w:rPr>
          <w:b/>
          <w:bCs/>
          <w:sz w:val="24"/>
          <w:szCs w:val="24"/>
        </w:rPr>
        <w:t>здравоохранения Украины</w:t>
      </w:r>
    </w:p>
    <w:p w14:paraId="4C4700DF" w14:textId="77777777" w:rsidR="005237BD" w:rsidRPr="00874EA4" w:rsidRDefault="00C50A46" w:rsidP="00D42FEF">
      <w:pPr>
        <w:pStyle w:val="a3"/>
        <w:ind w:left="5954"/>
        <w:jc w:val="center"/>
        <w:rPr>
          <w:b/>
          <w:bCs/>
          <w:sz w:val="24"/>
          <w:szCs w:val="24"/>
          <w:u w:val="single"/>
        </w:rPr>
      </w:pPr>
      <w:r w:rsidRPr="00874EA4">
        <w:rPr>
          <w:b/>
          <w:bCs/>
          <w:sz w:val="24"/>
          <w:szCs w:val="24"/>
          <w:u w:val="single"/>
        </w:rPr>
        <w:t>10.09.2021</w:t>
      </w:r>
      <w:r w:rsidRPr="00D42FEF">
        <w:rPr>
          <w:b/>
          <w:bCs/>
          <w:sz w:val="24"/>
          <w:szCs w:val="24"/>
        </w:rPr>
        <w:t xml:space="preserve"> № </w:t>
      </w:r>
      <w:r w:rsidRPr="00874EA4">
        <w:rPr>
          <w:b/>
          <w:bCs/>
          <w:sz w:val="24"/>
          <w:szCs w:val="24"/>
          <w:u w:val="single"/>
        </w:rPr>
        <w:t>1922</w:t>
      </w:r>
    </w:p>
    <w:p w14:paraId="4C4700E0" w14:textId="77777777" w:rsidR="005237BD" w:rsidRPr="00D42FEF" w:rsidRDefault="005237BD" w:rsidP="00D42FEF">
      <w:pPr>
        <w:pStyle w:val="a3"/>
        <w:ind w:left="5954"/>
        <w:jc w:val="center"/>
        <w:rPr>
          <w:b/>
          <w:bCs/>
          <w:sz w:val="24"/>
          <w:szCs w:val="24"/>
        </w:rPr>
      </w:pPr>
      <w:r w:rsidRPr="00D42FEF">
        <w:rPr>
          <w:b/>
          <w:bCs/>
          <w:sz w:val="24"/>
          <w:szCs w:val="24"/>
        </w:rPr>
        <w:t>Регистрационное свидетельство</w:t>
      </w:r>
    </w:p>
    <w:p w14:paraId="4C4700E1" w14:textId="77777777" w:rsidR="005D383B" w:rsidRPr="00874EA4" w:rsidRDefault="005237BD" w:rsidP="00D42FEF">
      <w:pPr>
        <w:pStyle w:val="a3"/>
        <w:ind w:left="5954"/>
        <w:jc w:val="center"/>
        <w:rPr>
          <w:b/>
          <w:bCs/>
          <w:sz w:val="24"/>
          <w:szCs w:val="24"/>
          <w:u w:val="single"/>
        </w:rPr>
      </w:pPr>
      <w:r w:rsidRPr="00874EA4">
        <w:rPr>
          <w:b/>
          <w:bCs/>
          <w:sz w:val="24"/>
          <w:szCs w:val="24"/>
          <w:u w:val="single"/>
        </w:rPr>
        <w:t>№ UA/17957/02/01</w:t>
      </w:r>
    </w:p>
    <w:p w14:paraId="4C4700E2" w14:textId="77777777" w:rsidR="00AD13E8" w:rsidRPr="00D42FEF" w:rsidRDefault="00AD13E8" w:rsidP="00D42FEF">
      <w:pPr>
        <w:jc w:val="center"/>
        <w:rPr>
          <w:b/>
          <w:lang w:val="uk-UA"/>
        </w:rPr>
      </w:pPr>
    </w:p>
    <w:p w14:paraId="4C4700E3" w14:textId="77777777" w:rsidR="005D383B" w:rsidRPr="00D42FEF" w:rsidRDefault="005D383B" w:rsidP="00D42FEF">
      <w:pPr>
        <w:jc w:val="center"/>
        <w:rPr>
          <w:b/>
          <w:lang w:val="uk-UA"/>
        </w:rPr>
      </w:pPr>
    </w:p>
    <w:p w14:paraId="4C4700E4" w14:textId="77777777" w:rsidR="00AD13E8" w:rsidRPr="00D42FEF" w:rsidRDefault="00AD13E8" w:rsidP="00D42FEF">
      <w:pPr>
        <w:jc w:val="center"/>
        <w:rPr>
          <w:lang w:val="uk-UA"/>
        </w:rPr>
      </w:pPr>
    </w:p>
    <w:p w14:paraId="4C4700E5" w14:textId="77777777" w:rsidR="00BC4634" w:rsidRPr="00D42FEF" w:rsidRDefault="00BC4634" w:rsidP="00D42FEF">
      <w:pPr>
        <w:jc w:val="center"/>
        <w:rPr>
          <w:b/>
        </w:rPr>
      </w:pPr>
      <w:r w:rsidRPr="00D42FEF">
        <w:rPr>
          <w:b/>
        </w:rPr>
        <w:t>ИНСТРУКЦИЯ</w:t>
      </w:r>
    </w:p>
    <w:p w14:paraId="4C4700E6" w14:textId="4380FBDC" w:rsidR="00BC4634" w:rsidRPr="00D42FEF" w:rsidRDefault="00CE17D7" w:rsidP="00D42FEF">
      <w:pPr>
        <w:jc w:val="center"/>
        <w:rPr>
          <w:b/>
        </w:rPr>
      </w:pPr>
      <w:r>
        <w:rPr>
          <w:b/>
        </w:rPr>
        <w:t>по медицинскому применению</w:t>
      </w:r>
      <w:r w:rsidR="00BC4634" w:rsidRPr="00D42FEF">
        <w:rPr>
          <w:b/>
        </w:rPr>
        <w:t xml:space="preserve"> лекарственного средства</w:t>
      </w:r>
    </w:p>
    <w:p w14:paraId="4C4700E7" w14:textId="77777777" w:rsidR="00E6039D" w:rsidRPr="00D42FEF" w:rsidRDefault="00E6039D" w:rsidP="00D42FEF">
      <w:pPr>
        <w:ind w:left="2040" w:right="2000"/>
        <w:jc w:val="center"/>
        <w:rPr>
          <w:b/>
          <w:lang w:val="uk-UA"/>
        </w:rPr>
      </w:pPr>
    </w:p>
    <w:p w14:paraId="4C4700E8" w14:textId="77777777" w:rsidR="00A9016F" w:rsidRPr="00D42FEF" w:rsidRDefault="00A9016F" w:rsidP="00D42FEF">
      <w:pPr>
        <w:pStyle w:val="rvps2"/>
        <w:spacing w:before="0" w:beforeAutospacing="0" w:after="0" w:afterAutospacing="0"/>
        <w:jc w:val="center"/>
        <w:rPr>
          <w:b/>
        </w:rPr>
      </w:pPr>
      <w:bookmarkStart w:id="0" w:name="n1778"/>
      <w:bookmarkEnd w:id="0"/>
      <w:r w:rsidRPr="00D42FEF">
        <w:rPr>
          <w:b/>
        </w:rPr>
        <w:t>Гипнос</w:t>
      </w:r>
      <w:r w:rsidRPr="00D42FEF">
        <w:rPr>
          <w:b/>
          <w:vertAlign w:val="superscript"/>
        </w:rPr>
        <w:t>®</w:t>
      </w:r>
    </w:p>
    <w:p w14:paraId="4C4700E9" w14:textId="77777777" w:rsidR="0095487D" w:rsidRPr="00D42FEF" w:rsidRDefault="0095487D" w:rsidP="00D42FEF">
      <w:pPr>
        <w:jc w:val="both"/>
        <w:rPr>
          <w:b/>
          <w:i/>
          <w:lang w:val="uk-UA"/>
        </w:rPr>
      </w:pPr>
    </w:p>
    <w:p w14:paraId="4C4700EA" w14:textId="77777777" w:rsidR="0095487D" w:rsidRPr="00D42FEF" w:rsidRDefault="0095487D" w:rsidP="00D42FEF">
      <w:pPr>
        <w:jc w:val="both"/>
        <w:rPr>
          <w:b/>
          <w:i/>
          <w:lang w:val="uk-UA"/>
        </w:rPr>
      </w:pPr>
    </w:p>
    <w:p w14:paraId="4C4700EB" w14:textId="77777777" w:rsidR="0095487D" w:rsidRPr="00D42FEF" w:rsidRDefault="00BC4634" w:rsidP="00D42FEF">
      <w:pPr>
        <w:jc w:val="both"/>
        <w:rPr>
          <w:b/>
          <w:i/>
        </w:rPr>
      </w:pPr>
      <w:r w:rsidRPr="00D42FEF">
        <w:rPr>
          <w:b/>
          <w:i/>
        </w:rPr>
        <w:t>Состав:</w:t>
      </w:r>
    </w:p>
    <w:p w14:paraId="4C4700EC" w14:textId="77777777" w:rsidR="00AD13E8" w:rsidRPr="00D42FEF" w:rsidRDefault="00AD13E8" w:rsidP="00D42FEF">
      <w:pPr>
        <w:widowControl w:val="0"/>
        <w:tabs>
          <w:tab w:val="left" w:pos="9781"/>
        </w:tabs>
        <w:adjustRightInd w:val="0"/>
        <w:jc w:val="both"/>
      </w:pPr>
      <w:r w:rsidRPr="00D42FEF">
        <w:rPr>
          <w:i/>
          <w:iCs/>
        </w:rPr>
        <w:t>действующее вещество:</w:t>
      </w:r>
      <w:r w:rsidRPr="00D42FEF">
        <w:t xml:space="preserve"> </w:t>
      </w:r>
      <w:proofErr w:type="spellStart"/>
      <w:r w:rsidRPr="00D42FEF">
        <w:t>doxylamine</w:t>
      </w:r>
      <w:proofErr w:type="spellEnd"/>
      <w:r w:rsidRPr="00D42FEF">
        <w:t>;</w:t>
      </w:r>
    </w:p>
    <w:p w14:paraId="4C4700ED" w14:textId="77777777" w:rsidR="00A9016F" w:rsidRPr="00D42FEF" w:rsidRDefault="006575B5" w:rsidP="00D42FEF">
      <w:pPr>
        <w:widowControl w:val="0"/>
        <w:tabs>
          <w:tab w:val="left" w:pos="9781"/>
        </w:tabs>
        <w:adjustRightInd w:val="0"/>
        <w:jc w:val="both"/>
      </w:pPr>
      <w:r w:rsidRPr="00D42FEF">
        <w:t xml:space="preserve">0,6 мл (13 капель) содержит </w:t>
      </w:r>
      <w:proofErr w:type="spellStart"/>
      <w:r w:rsidRPr="00D42FEF">
        <w:t>доксиламина</w:t>
      </w:r>
      <w:proofErr w:type="spellEnd"/>
      <w:r w:rsidRPr="00D42FEF">
        <w:t xml:space="preserve"> </w:t>
      </w:r>
      <w:proofErr w:type="spellStart"/>
      <w:r w:rsidRPr="00D42FEF">
        <w:t>сукцината</w:t>
      </w:r>
      <w:proofErr w:type="spellEnd"/>
      <w:r w:rsidRPr="00D42FEF">
        <w:t xml:space="preserve"> 15 мг;</w:t>
      </w:r>
    </w:p>
    <w:p w14:paraId="4C4700EE" w14:textId="77777777" w:rsidR="00AD13E8" w:rsidRPr="00D42FEF" w:rsidRDefault="00AD13E8" w:rsidP="00D42FEF">
      <w:pPr>
        <w:widowControl w:val="0"/>
        <w:tabs>
          <w:tab w:val="left" w:pos="9781"/>
        </w:tabs>
        <w:adjustRightInd w:val="0"/>
        <w:jc w:val="both"/>
      </w:pPr>
      <w:r w:rsidRPr="00D42FEF">
        <w:rPr>
          <w:i/>
          <w:iCs/>
        </w:rPr>
        <w:t>вспомогательные вещества:</w:t>
      </w:r>
      <w:r w:rsidRPr="00D42FEF">
        <w:t xml:space="preserve"> этанол 96%, мяты перечной масло, вода очищенная.</w:t>
      </w:r>
    </w:p>
    <w:p w14:paraId="4C4700EF" w14:textId="77777777" w:rsidR="00BC4634" w:rsidRPr="00D42FEF" w:rsidRDefault="00BC4634" w:rsidP="00D42FEF">
      <w:pPr>
        <w:jc w:val="both"/>
        <w:rPr>
          <w:lang w:val="uk-UA"/>
        </w:rPr>
      </w:pPr>
    </w:p>
    <w:p w14:paraId="4C4700F0" w14:textId="77777777" w:rsidR="008F4C5C" w:rsidRPr="00D42FEF" w:rsidRDefault="00BC4634" w:rsidP="00D42FEF">
      <w:pPr>
        <w:jc w:val="both"/>
      </w:pPr>
      <w:r w:rsidRPr="00D42FEF">
        <w:rPr>
          <w:b/>
        </w:rPr>
        <w:t>Лекарственная форма</w:t>
      </w:r>
      <w:r w:rsidRPr="00D42FEF">
        <w:t xml:space="preserve"> Капли оральные, раствор.</w:t>
      </w:r>
    </w:p>
    <w:p w14:paraId="4C4700F1" w14:textId="77777777" w:rsidR="008F4C5C" w:rsidRPr="00D42FEF" w:rsidRDefault="008F4C5C" w:rsidP="00D42FEF">
      <w:pPr>
        <w:jc w:val="both"/>
      </w:pPr>
      <w:r w:rsidRPr="00D42FEF">
        <w:rPr>
          <w:i/>
        </w:rPr>
        <w:t xml:space="preserve">Основные физико-химические свойства: </w:t>
      </w:r>
      <w:r w:rsidRPr="00D42FEF">
        <w:t>прозрачная бесцветная жидкость со специфическим запахом.</w:t>
      </w:r>
    </w:p>
    <w:p w14:paraId="4C4700F2" w14:textId="77777777" w:rsidR="00756AB3" w:rsidRPr="00D42FEF" w:rsidRDefault="00756AB3" w:rsidP="00D42FEF">
      <w:pPr>
        <w:jc w:val="both"/>
        <w:rPr>
          <w:b/>
          <w:lang w:val="uk-UA"/>
        </w:rPr>
      </w:pPr>
    </w:p>
    <w:p w14:paraId="7047157F" w14:textId="77777777" w:rsidR="00E03A65" w:rsidRPr="00D42FEF" w:rsidRDefault="00BC4634" w:rsidP="00E03A65">
      <w:pPr>
        <w:jc w:val="both"/>
      </w:pPr>
      <w:r w:rsidRPr="00D42FEF">
        <w:rPr>
          <w:b/>
        </w:rPr>
        <w:t>Фармакотерапевтическая группа.</w:t>
      </w:r>
      <w:r w:rsidRPr="00D42FEF">
        <w:t xml:space="preserve"> </w:t>
      </w:r>
      <w:r w:rsidR="00E03A65" w:rsidRPr="00D42FEF">
        <w:t xml:space="preserve">Антигистаминные средства для системного применения. </w:t>
      </w:r>
      <w:proofErr w:type="spellStart"/>
      <w:r w:rsidR="00E03A65" w:rsidRPr="00D42FEF">
        <w:t>Доксиламин</w:t>
      </w:r>
      <w:proofErr w:type="spellEnd"/>
      <w:r w:rsidR="00E03A65" w:rsidRPr="00D42FEF">
        <w:t xml:space="preserve">. Код АТХ R06А А09. </w:t>
      </w:r>
    </w:p>
    <w:p w14:paraId="4C4700F3" w14:textId="000D10AC" w:rsidR="0098696A" w:rsidRPr="00D42FEF" w:rsidRDefault="00BC4634" w:rsidP="00D42FEF">
      <w:pPr>
        <w:jc w:val="both"/>
      </w:pPr>
      <w:r w:rsidRPr="00D42FEF">
        <w:t>Снотворные и седативные средства.</w:t>
      </w:r>
      <w:r w:rsidRPr="00D42FEF">
        <w:rPr>
          <w:rStyle w:val="alt-edited"/>
        </w:rPr>
        <w:t xml:space="preserve"> </w:t>
      </w:r>
      <w:r w:rsidRPr="00D42FEF">
        <w:t>Другие снотворные и седативные средства. Код ATХ N05C M.</w:t>
      </w:r>
    </w:p>
    <w:p w14:paraId="78E101CB" w14:textId="77777777" w:rsidR="00E03A65" w:rsidRDefault="00E03A65" w:rsidP="00D42FEF">
      <w:pPr>
        <w:rPr>
          <w:b/>
          <w:i/>
        </w:rPr>
      </w:pPr>
    </w:p>
    <w:p w14:paraId="4C4700F6" w14:textId="3EF5DB0B" w:rsidR="00435B55" w:rsidRPr="00D42FEF" w:rsidRDefault="00435B55" w:rsidP="00D42FEF">
      <w:pPr>
        <w:rPr>
          <w:b/>
          <w:i/>
        </w:rPr>
      </w:pPr>
      <w:r w:rsidRPr="00D42FEF">
        <w:rPr>
          <w:b/>
          <w:i/>
        </w:rPr>
        <w:t>Фармакологические свойства.</w:t>
      </w:r>
    </w:p>
    <w:p w14:paraId="4C4700F7" w14:textId="77777777" w:rsidR="00435B55" w:rsidRPr="00D42FEF" w:rsidRDefault="0091728E" w:rsidP="00D42FEF">
      <w:pPr>
        <w:widowControl w:val="0"/>
        <w:snapToGrid w:val="0"/>
        <w:jc w:val="both"/>
        <w:rPr>
          <w:i/>
        </w:rPr>
      </w:pPr>
      <w:proofErr w:type="spellStart"/>
      <w:r w:rsidRPr="00D42FEF">
        <w:rPr>
          <w:i/>
        </w:rPr>
        <w:t>Фармакодинамика</w:t>
      </w:r>
      <w:proofErr w:type="spellEnd"/>
      <w:r w:rsidRPr="00D42FEF">
        <w:rPr>
          <w:i/>
        </w:rPr>
        <w:t>.</w:t>
      </w:r>
    </w:p>
    <w:p w14:paraId="4C4700F8" w14:textId="77777777" w:rsidR="00B31222" w:rsidRPr="00D42FEF" w:rsidRDefault="00B31222" w:rsidP="00D42FEF">
      <w:pPr>
        <w:ind w:right="-2"/>
        <w:jc w:val="both"/>
        <w:rPr>
          <w:rFonts w:eastAsia="Calibri"/>
        </w:rPr>
      </w:pPr>
      <w:proofErr w:type="spellStart"/>
      <w:r w:rsidRPr="00D42FEF">
        <w:t>Доксиламина</w:t>
      </w:r>
      <w:proofErr w:type="spellEnd"/>
      <w:r w:rsidRPr="00D42FEF">
        <w:t xml:space="preserve"> </w:t>
      </w:r>
      <w:proofErr w:type="spellStart"/>
      <w:r w:rsidRPr="00D42FEF">
        <w:t>сукцинат</w:t>
      </w:r>
      <w:proofErr w:type="spellEnd"/>
      <w:r w:rsidRPr="00D42FEF">
        <w:t xml:space="preserve"> является блокатором Н</w:t>
      </w:r>
      <w:r w:rsidRPr="00D42FEF">
        <w:rPr>
          <w:vertAlign w:val="subscript"/>
        </w:rPr>
        <w:t>1</w:t>
      </w:r>
      <w:r w:rsidRPr="00D42FEF">
        <w:t xml:space="preserve">-гистаминовых рецепторов класса этаноламина, что оказывает седативный и </w:t>
      </w:r>
      <w:proofErr w:type="spellStart"/>
      <w:r w:rsidRPr="00D42FEF">
        <w:t>атропиноподобный</w:t>
      </w:r>
      <w:proofErr w:type="spellEnd"/>
      <w:r w:rsidRPr="00D42FEF">
        <w:t xml:space="preserve"> эффекты. Было продемонстрировано, что оно уменьшает время, необходимое для засыпания, а также улучшает продолжительность и качество сна.</w:t>
      </w:r>
    </w:p>
    <w:p w14:paraId="4C4700F9" w14:textId="77777777" w:rsidR="00435B55" w:rsidRPr="00D42FEF" w:rsidRDefault="00435B55" w:rsidP="00D42FEF">
      <w:pPr>
        <w:jc w:val="both"/>
        <w:rPr>
          <w:i/>
        </w:rPr>
      </w:pPr>
      <w:r w:rsidRPr="00D42FEF">
        <w:rPr>
          <w:i/>
        </w:rPr>
        <w:t>Фармакокинетика.</w:t>
      </w:r>
    </w:p>
    <w:p w14:paraId="4C4700FA" w14:textId="77777777" w:rsidR="00B31222" w:rsidRPr="00D42FEF" w:rsidRDefault="00B31222" w:rsidP="00D42FEF">
      <w:pPr>
        <w:ind w:right="-2"/>
        <w:jc w:val="both"/>
        <w:rPr>
          <w:iCs/>
        </w:rPr>
      </w:pPr>
      <w:r w:rsidRPr="00D42FEF">
        <w:t>Максимальная концентрация в плазме крови (</w:t>
      </w:r>
      <w:proofErr w:type="spellStart"/>
      <w:r w:rsidRPr="00D42FEF">
        <w:t>С</w:t>
      </w:r>
      <w:r w:rsidRPr="00D42FEF">
        <w:rPr>
          <w:vertAlign w:val="subscript"/>
        </w:rPr>
        <w:t>max</w:t>
      </w:r>
      <w:proofErr w:type="spellEnd"/>
      <w:r w:rsidRPr="00D42FEF">
        <w:t>) достигается в среднем через 1 ч (</w:t>
      </w:r>
      <w:proofErr w:type="spellStart"/>
      <w:r w:rsidRPr="00D42FEF">
        <w:t>Т</w:t>
      </w:r>
      <w:r w:rsidRPr="00D42FEF">
        <w:rPr>
          <w:vertAlign w:val="subscript"/>
        </w:rPr>
        <w:t>max</w:t>
      </w:r>
      <w:proofErr w:type="spellEnd"/>
      <w:r w:rsidRPr="00D42FEF">
        <w:t xml:space="preserve">) после приема </w:t>
      </w:r>
      <w:proofErr w:type="spellStart"/>
      <w:r w:rsidRPr="00D42FEF">
        <w:t>сукцината</w:t>
      </w:r>
      <w:proofErr w:type="spellEnd"/>
      <w:r w:rsidRPr="00D42FEF">
        <w:t xml:space="preserve"> </w:t>
      </w:r>
      <w:proofErr w:type="spellStart"/>
      <w:r w:rsidRPr="00D42FEF">
        <w:t>доксиламина</w:t>
      </w:r>
      <w:proofErr w:type="spellEnd"/>
      <w:r w:rsidRPr="00D42FEF">
        <w:t>.</w:t>
      </w:r>
    </w:p>
    <w:p w14:paraId="4C4700FB" w14:textId="77777777" w:rsidR="00B31222" w:rsidRPr="00D42FEF" w:rsidRDefault="00B31222" w:rsidP="00D42FEF">
      <w:pPr>
        <w:ind w:right="-2"/>
        <w:jc w:val="both"/>
        <w:rPr>
          <w:iCs/>
        </w:rPr>
      </w:pPr>
      <w:r w:rsidRPr="00D42FEF">
        <w:t>Средний период полувыведения из плазмы крови (Т½) составляет в среднем 10 часов.</w:t>
      </w:r>
    </w:p>
    <w:p w14:paraId="4C4700FC" w14:textId="77777777" w:rsidR="00B31222" w:rsidRPr="00D42FEF" w:rsidRDefault="00B31222" w:rsidP="00D42FEF">
      <w:pPr>
        <w:ind w:right="-2"/>
        <w:jc w:val="both"/>
        <w:rPr>
          <w:iCs/>
        </w:rPr>
      </w:pPr>
      <w:proofErr w:type="spellStart"/>
      <w:r w:rsidRPr="00D42FEF">
        <w:t>Доксиламина</w:t>
      </w:r>
      <w:proofErr w:type="spellEnd"/>
      <w:r w:rsidRPr="00D42FEF">
        <w:t xml:space="preserve"> </w:t>
      </w:r>
      <w:proofErr w:type="spellStart"/>
      <w:r w:rsidRPr="00D42FEF">
        <w:t>сукцинат</w:t>
      </w:r>
      <w:proofErr w:type="spellEnd"/>
      <w:r w:rsidRPr="00D42FEF">
        <w:t xml:space="preserve"> частично </w:t>
      </w:r>
      <w:proofErr w:type="spellStart"/>
      <w:r w:rsidRPr="00D42FEF">
        <w:t>метаболизируется</w:t>
      </w:r>
      <w:proofErr w:type="spellEnd"/>
      <w:r w:rsidRPr="00D42FEF">
        <w:t xml:space="preserve"> в печени путем деметилирования и N-ацетилирования. Различные метаболиты, образующиеся при распаде молекулы, не являются количественно значимыми, поскольку 60% применяемой дозы выявляется в моче в форме неизмененного </w:t>
      </w:r>
      <w:proofErr w:type="spellStart"/>
      <w:r w:rsidRPr="00D42FEF">
        <w:t>доксиламина</w:t>
      </w:r>
      <w:proofErr w:type="spellEnd"/>
      <w:r w:rsidRPr="00D42FEF">
        <w:t>.</w:t>
      </w:r>
    </w:p>
    <w:p w14:paraId="4C4700FD" w14:textId="77777777" w:rsidR="00DD19D3" w:rsidRPr="00D42FEF" w:rsidRDefault="00DD19D3" w:rsidP="00D42FEF">
      <w:pPr>
        <w:jc w:val="both"/>
        <w:rPr>
          <w:b/>
          <w:lang w:val="uk-UA"/>
        </w:rPr>
      </w:pPr>
    </w:p>
    <w:p w14:paraId="4C4700FE" w14:textId="77777777" w:rsidR="002D7B4F" w:rsidRPr="00D42FEF" w:rsidRDefault="002D7B4F" w:rsidP="00D42FEF">
      <w:pPr>
        <w:rPr>
          <w:b/>
          <w:i/>
        </w:rPr>
      </w:pPr>
      <w:r w:rsidRPr="00D42FEF">
        <w:rPr>
          <w:b/>
        </w:rPr>
        <w:t>Клинические характеристики.</w:t>
      </w:r>
    </w:p>
    <w:p w14:paraId="4C4700FF" w14:textId="77777777" w:rsidR="002D7B4F" w:rsidRPr="00D42FEF" w:rsidRDefault="005E439D" w:rsidP="00D42FEF">
      <w:pPr>
        <w:widowControl w:val="0"/>
        <w:rPr>
          <w:b/>
          <w:i/>
        </w:rPr>
      </w:pPr>
      <w:r w:rsidRPr="00D42FEF">
        <w:rPr>
          <w:b/>
          <w:i/>
        </w:rPr>
        <w:t>Показания.</w:t>
      </w:r>
    </w:p>
    <w:p w14:paraId="4C470100" w14:textId="77777777" w:rsidR="00B31222" w:rsidRPr="00D42FEF" w:rsidRDefault="00B31222" w:rsidP="00D42FEF">
      <w:pPr>
        <w:jc w:val="both"/>
        <w:rPr>
          <w:b/>
        </w:rPr>
      </w:pPr>
      <w:r w:rsidRPr="00D42FEF">
        <w:t>Периодическая бессонница у взрослых.</w:t>
      </w:r>
    </w:p>
    <w:p w14:paraId="4C470101" w14:textId="77777777" w:rsidR="002D7B4F" w:rsidRPr="00D42FEF" w:rsidRDefault="002D7B4F" w:rsidP="00D42FEF">
      <w:pPr>
        <w:rPr>
          <w:lang w:val="uk-UA"/>
        </w:rPr>
      </w:pPr>
    </w:p>
    <w:p w14:paraId="4C470102" w14:textId="77777777" w:rsidR="002D7B4F" w:rsidRPr="00D42FEF" w:rsidRDefault="0091728E" w:rsidP="00D42FEF">
      <w:pPr>
        <w:rPr>
          <w:b/>
          <w:i/>
        </w:rPr>
      </w:pPr>
      <w:r w:rsidRPr="00D42FEF">
        <w:rPr>
          <w:b/>
          <w:i/>
        </w:rPr>
        <w:t>Противопоказания.</w:t>
      </w:r>
    </w:p>
    <w:p w14:paraId="4C470103" w14:textId="77777777" w:rsidR="00B31222" w:rsidRPr="00D42FEF" w:rsidRDefault="002375F8" w:rsidP="00D42FEF">
      <w:pPr>
        <w:numPr>
          <w:ilvl w:val="0"/>
          <w:numId w:val="6"/>
        </w:numPr>
        <w:jc w:val="both"/>
      </w:pPr>
      <w:r w:rsidRPr="00D42FEF">
        <w:t xml:space="preserve">Повышенная чувствительность к </w:t>
      </w:r>
      <w:proofErr w:type="spellStart"/>
      <w:r w:rsidRPr="00D42FEF">
        <w:t>доксиламину</w:t>
      </w:r>
      <w:proofErr w:type="spellEnd"/>
      <w:r w:rsidRPr="00D42FEF">
        <w:t xml:space="preserve"> </w:t>
      </w:r>
      <w:proofErr w:type="spellStart"/>
      <w:r w:rsidRPr="00D42FEF">
        <w:t>сукцинату</w:t>
      </w:r>
      <w:proofErr w:type="spellEnd"/>
      <w:r w:rsidRPr="00D42FEF">
        <w:t xml:space="preserve"> или к вспомогательным веществам или другим антигистаминным средствам.</w:t>
      </w:r>
    </w:p>
    <w:p w14:paraId="4C470104" w14:textId="77777777" w:rsidR="00E97CEE" w:rsidRPr="00D42FEF" w:rsidRDefault="00B31222" w:rsidP="00D42FEF">
      <w:pPr>
        <w:numPr>
          <w:ilvl w:val="0"/>
          <w:numId w:val="6"/>
        </w:numPr>
        <w:ind w:left="360"/>
        <w:jc w:val="both"/>
      </w:pPr>
      <w:r w:rsidRPr="00D42FEF">
        <w:t xml:space="preserve">Острая </w:t>
      </w:r>
      <w:proofErr w:type="spellStart"/>
      <w:r w:rsidRPr="00D42FEF">
        <w:t>закрытоугольная</w:t>
      </w:r>
      <w:proofErr w:type="spellEnd"/>
      <w:r w:rsidRPr="00D42FEF">
        <w:t xml:space="preserve"> глаукома в анамнезе пациента или в семейном анамнезе.</w:t>
      </w:r>
    </w:p>
    <w:p w14:paraId="4C470105" w14:textId="77777777" w:rsidR="00E97CEE" w:rsidRPr="00D42FEF" w:rsidRDefault="00B31222" w:rsidP="00D42FEF">
      <w:pPr>
        <w:numPr>
          <w:ilvl w:val="0"/>
          <w:numId w:val="6"/>
        </w:numPr>
        <w:ind w:left="360"/>
        <w:jc w:val="both"/>
      </w:pPr>
      <w:proofErr w:type="spellStart"/>
      <w:r w:rsidRPr="00D42FEF">
        <w:t>Уретропростатические</w:t>
      </w:r>
      <w:proofErr w:type="spellEnd"/>
      <w:r w:rsidRPr="00D42FEF">
        <w:t xml:space="preserve"> нарушения с риском задержки мочи.</w:t>
      </w:r>
    </w:p>
    <w:p w14:paraId="4C470107" w14:textId="77777777" w:rsidR="005515E6" w:rsidRPr="00D42FEF" w:rsidRDefault="005515E6" w:rsidP="00D42FEF">
      <w:pPr>
        <w:widowControl w:val="0"/>
        <w:snapToGrid w:val="0"/>
        <w:rPr>
          <w:b/>
          <w:i/>
          <w:lang w:val="uk-UA" w:eastAsia="uk-UA"/>
        </w:rPr>
      </w:pPr>
    </w:p>
    <w:p w14:paraId="4C470108" w14:textId="77777777" w:rsidR="002A1132" w:rsidRPr="00D42FEF" w:rsidRDefault="002A1132" w:rsidP="00D42FEF">
      <w:pPr>
        <w:widowControl w:val="0"/>
        <w:snapToGrid w:val="0"/>
        <w:rPr>
          <w:b/>
          <w:i/>
        </w:rPr>
      </w:pPr>
      <w:r w:rsidRPr="00D42FEF">
        <w:rPr>
          <w:b/>
          <w:i/>
        </w:rPr>
        <w:t>Взаимодействие с другими лекарственными средствами и другие виды взаимодействий.</w:t>
      </w:r>
    </w:p>
    <w:p w14:paraId="4C470109" w14:textId="77777777" w:rsidR="00B31222" w:rsidRPr="00D42FEF" w:rsidRDefault="002375F8" w:rsidP="00D42FEF">
      <w:pPr>
        <w:tabs>
          <w:tab w:val="left" w:pos="7230"/>
        </w:tabs>
        <w:contextualSpacing/>
        <w:jc w:val="both"/>
        <w:rPr>
          <w:rFonts w:eastAsia="Calibri"/>
          <w:i/>
          <w:u w:val="single"/>
        </w:rPr>
      </w:pPr>
      <w:r w:rsidRPr="00D42FEF">
        <w:rPr>
          <w:bCs/>
          <w:i/>
          <w:iCs/>
          <w:u w:val="single"/>
        </w:rPr>
        <w:t>Комбинации, которых нужно избегать</w:t>
      </w:r>
    </w:p>
    <w:p w14:paraId="4C47010A" w14:textId="77777777" w:rsidR="00B31222" w:rsidRPr="00D42FEF" w:rsidRDefault="00B31222" w:rsidP="00D42FEF">
      <w:pPr>
        <w:contextualSpacing/>
        <w:jc w:val="both"/>
      </w:pPr>
      <w:r w:rsidRPr="00D42FEF">
        <w:t>Алкоголь усиливает седативный эффект большинства Н</w:t>
      </w:r>
      <w:r w:rsidRPr="00D42FEF">
        <w:rPr>
          <w:vertAlign w:val="subscript"/>
        </w:rPr>
        <w:t>1</w:t>
      </w:r>
      <w:r w:rsidRPr="00D42FEF">
        <w:t>-антигистаминных средств. Следует избегать употребления алкогольных напитков и приема лекарственных средств, содержащих этанол.</w:t>
      </w:r>
    </w:p>
    <w:p w14:paraId="4C47010B" w14:textId="77777777" w:rsidR="00B31222" w:rsidRPr="00D42FEF" w:rsidRDefault="002375F8" w:rsidP="00D42FEF">
      <w:pPr>
        <w:jc w:val="both"/>
        <w:rPr>
          <w:rFonts w:eastAsia="Calibri"/>
        </w:rPr>
      </w:pPr>
      <w:r w:rsidRPr="00D42FEF">
        <w:t xml:space="preserve">Также необходимо избегать применения лекарственного средства с </w:t>
      </w:r>
      <w:proofErr w:type="spellStart"/>
      <w:r w:rsidRPr="00D42FEF">
        <w:t>оксибутиратом</w:t>
      </w:r>
      <w:proofErr w:type="spellEnd"/>
      <w:r w:rsidRPr="00D42FEF">
        <w:t xml:space="preserve"> натрия с учетом усиления угнетения центральной нервной системы. Нарушение скорости реакции может привести к опасности при управлении автотранспортом и работе с другими механизмами.</w:t>
      </w:r>
    </w:p>
    <w:p w14:paraId="4C47010C" w14:textId="77777777" w:rsidR="00B31222" w:rsidRPr="00D42FEF" w:rsidRDefault="00B31222" w:rsidP="00D42FEF">
      <w:pPr>
        <w:contextualSpacing/>
        <w:jc w:val="both"/>
        <w:rPr>
          <w:i/>
          <w:u w:val="single"/>
        </w:rPr>
      </w:pPr>
      <w:r w:rsidRPr="00D42FEF">
        <w:rPr>
          <w:i/>
          <w:u w:val="single"/>
        </w:rPr>
        <w:t>Комбинации, которые следует принимать во внимание</w:t>
      </w:r>
    </w:p>
    <w:p w14:paraId="4C47010D" w14:textId="77777777" w:rsidR="00B31222" w:rsidRPr="00D42FEF" w:rsidRDefault="00B31222" w:rsidP="00D42FEF">
      <w:pPr>
        <w:contextualSpacing/>
        <w:jc w:val="both"/>
        <w:rPr>
          <w:i/>
          <w:u w:val="single"/>
        </w:rPr>
      </w:pPr>
      <w:r w:rsidRPr="00D42FEF">
        <w:t xml:space="preserve">С атропином и </w:t>
      </w:r>
      <w:proofErr w:type="spellStart"/>
      <w:r w:rsidRPr="00D42FEF">
        <w:t>атропиноподобными</w:t>
      </w:r>
      <w:proofErr w:type="spellEnd"/>
      <w:r w:rsidRPr="00D42FEF">
        <w:t xml:space="preserve"> лекарственными средствами (</w:t>
      </w:r>
      <w:proofErr w:type="spellStart"/>
      <w:r w:rsidRPr="00D42FEF">
        <w:t>имипраминовые</w:t>
      </w:r>
      <w:proofErr w:type="spellEnd"/>
      <w:r w:rsidRPr="00D42FEF">
        <w:t xml:space="preserve"> антидепрессанты, большинство </w:t>
      </w:r>
      <w:proofErr w:type="spellStart"/>
      <w:r w:rsidRPr="00D42FEF">
        <w:t>атропиноподобных</w:t>
      </w:r>
      <w:proofErr w:type="spellEnd"/>
      <w:r w:rsidRPr="00D42FEF">
        <w:t xml:space="preserve"> Н</w:t>
      </w:r>
      <w:r w:rsidRPr="00D42FEF">
        <w:rPr>
          <w:vertAlign w:val="subscript"/>
        </w:rPr>
        <w:t>1</w:t>
      </w:r>
      <w:r w:rsidRPr="00D42FEF">
        <w:t xml:space="preserve">-антигистаминных средств, антихолинергические </w:t>
      </w:r>
      <w:proofErr w:type="spellStart"/>
      <w:r w:rsidRPr="00D42FEF">
        <w:t>противопаркинсонические</w:t>
      </w:r>
      <w:proofErr w:type="spellEnd"/>
      <w:r w:rsidRPr="00D42FEF">
        <w:t xml:space="preserve"> средства, </w:t>
      </w:r>
      <w:proofErr w:type="spellStart"/>
      <w:r w:rsidRPr="00D42FEF">
        <w:t>атропиновые</w:t>
      </w:r>
      <w:proofErr w:type="spellEnd"/>
      <w:r w:rsidRPr="00D42FEF">
        <w:t xml:space="preserve"> спазмолитические лекарственные средства, </w:t>
      </w:r>
      <w:proofErr w:type="spellStart"/>
      <w:r w:rsidRPr="00D42FEF">
        <w:t>дизопирамид</w:t>
      </w:r>
      <w:proofErr w:type="spellEnd"/>
      <w:r w:rsidRPr="00D42FEF">
        <w:t xml:space="preserve">, </w:t>
      </w:r>
      <w:proofErr w:type="spellStart"/>
      <w:r w:rsidRPr="00D42FEF">
        <w:t>фенотиазиновые</w:t>
      </w:r>
      <w:proofErr w:type="spellEnd"/>
      <w:r w:rsidRPr="00D42FEF">
        <w:t xml:space="preserve"> нейролептики, а также </w:t>
      </w:r>
      <w:proofErr w:type="spellStart"/>
      <w:r w:rsidRPr="00D42FEF">
        <w:t>клозапин</w:t>
      </w:r>
      <w:proofErr w:type="spellEnd"/>
      <w:r w:rsidRPr="00D42FEF">
        <w:t xml:space="preserve"> и </w:t>
      </w:r>
      <w:proofErr w:type="spellStart"/>
      <w:r w:rsidRPr="00D42FEF">
        <w:t>клозапин</w:t>
      </w:r>
      <w:proofErr w:type="spellEnd"/>
      <w:r w:rsidRPr="00D42FEF">
        <w:t>).</w:t>
      </w:r>
    </w:p>
    <w:p w14:paraId="4C47010E" w14:textId="77777777" w:rsidR="00B31222" w:rsidRPr="00D42FEF" w:rsidRDefault="00B31222" w:rsidP="00D42FEF">
      <w:pPr>
        <w:jc w:val="both"/>
        <w:rPr>
          <w:rFonts w:eastAsia="Calibri"/>
        </w:rPr>
      </w:pPr>
      <w:r w:rsidRPr="00D42FEF">
        <w:t xml:space="preserve">С другими седативными лекарственными средствами (производными морфина (обезболивающие, средства, применяемые для лечения кашля и заместительной терапии), нейролептиками; барбитуратами, бензодиазепинами; </w:t>
      </w:r>
      <w:proofErr w:type="spellStart"/>
      <w:r w:rsidRPr="00D42FEF">
        <w:t>анксиолитиками</w:t>
      </w:r>
      <w:proofErr w:type="spellEnd"/>
      <w:r w:rsidRPr="00D42FEF">
        <w:t>, кроме бензодиазепинов (</w:t>
      </w:r>
      <w:proofErr w:type="spellStart"/>
      <w:r w:rsidRPr="00D42FEF">
        <w:t>мепробамат</w:t>
      </w:r>
      <w:proofErr w:type="spellEnd"/>
      <w:r w:rsidRPr="00D42FEF">
        <w:t xml:space="preserve">); другими снотворными средствами, </w:t>
      </w:r>
      <w:proofErr w:type="spellStart"/>
      <w:r w:rsidRPr="00D42FEF">
        <w:t>миртазапин</w:t>
      </w:r>
      <w:proofErr w:type="spellEnd"/>
      <w:r w:rsidRPr="00D42FEF">
        <w:t xml:space="preserve">, </w:t>
      </w:r>
      <w:proofErr w:type="spellStart"/>
      <w:r w:rsidRPr="00D42FEF">
        <w:t>тримипрамин</w:t>
      </w:r>
      <w:proofErr w:type="spellEnd"/>
      <w:r w:rsidRPr="00D42FEF">
        <w:t>), седативные Н</w:t>
      </w:r>
      <w:r w:rsidRPr="00D42FEF">
        <w:rPr>
          <w:vertAlign w:val="subscript"/>
        </w:rPr>
        <w:t>1</w:t>
      </w:r>
      <w:r w:rsidRPr="00D42FEF">
        <w:t xml:space="preserve">-антигистаминные средства, антигипертензивные средства центрального действия, другие: </w:t>
      </w:r>
      <w:proofErr w:type="spellStart"/>
      <w:r w:rsidRPr="00D42FEF">
        <w:t>баклофен</w:t>
      </w:r>
      <w:proofErr w:type="spellEnd"/>
      <w:r w:rsidRPr="00D42FEF">
        <w:t>, талидомид) вследствие усиления угнетения центральной нервной системы. Нарушение скорости реакции может привести к опасности при управлении автотранспортом и работе с другими механизмами.</w:t>
      </w:r>
    </w:p>
    <w:p w14:paraId="4C47010F" w14:textId="77777777" w:rsidR="00B31222" w:rsidRPr="00D42FEF" w:rsidRDefault="00B31222" w:rsidP="00D42FEF">
      <w:pPr>
        <w:contextualSpacing/>
        <w:jc w:val="both"/>
      </w:pPr>
      <w:r w:rsidRPr="00D42FEF">
        <w:t>С другими снотворными средствами в связи с угнетением центральной нервной системы.</w:t>
      </w:r>
    </w:p>
    <w:p w14:paraId="4C470110" w14:textId="77777777" w:rsidR="00491C9E" w:rsidRPr="00D42FEF" w:rsidRDefault="00491C9E" w:rsidP="00D42FEF">
      <w:pPr>
        <w:widowControl w:val="0"/>
        <w:rPr>
          <w:b/>
          <w:i/>
          <w:lang w:val="uk-UA" w:eastAsia="uk-UA"/>
        </w:rPr>
      </w:pPr>
    </w:p>
    <w:p w14:paraId="4C470111" w14:textId="77777777" w:rsidR="002A1132" w:rsidRPr="00D42FEF" w:rsidRDefault="002A1132" w:rsidP="00D42FEF">
      <w:pPr>
        <w:widowControl w:val="0"/>
        <w:rPr>
          <w:b/>
          <w:i/>
        </w:rPr>
      </w:pPr>
      <w:r w:rsidRPr="00D42FEF">
        <w:rPr>
          <w:b/>
          <w:i/>
        </w:rPr>
        <w:t>Особенности применения.</w:t>
      </w:r>
    </w:p>
    <w:p w14:paraId="4C470112" w14:textId="77777777" w:rsidR="00B31222" w:rsidRPr="00D42FEF" w:rsidRDefault="00B31222" w:rsidP="00D42FEF">
      <w:pPr>
        <w:jc w:val="both"/>
      </w:pPr>
      <w:bookmarkStart w:id="1" w:name="_Hlk535834999"/>
      <w:r w:rsidRPr="00D42FEF">
        <w:t>Бессонница может иметь разные причины, не требующие обязательного приема лекарственных средств, поэтому перед началом применения данного лекарственного средства рекомендована консультация с врачом.</w:t>
      </w:r>
    </w:p>
    <w:p w14:paraId="4C470113" w14:textId="77777777" w:rsidR="00B31222" w:rsidRPr="00D42FEF" w:rsidRDefault="00B31222" w:rsidP="00D42FEF">
      <w:pPr>
        <w:jc w:val="both"/>
      </w:pPr>
      <w:r w:rsidRPr="00D42FEF">
        <w:t xml:space="preserve">Как и все снотворные или седативные средства, </w:t>
      </w:r>
      <w:proofErr w:type="spellStart"/>
      <w:r w:rsidRPr="00D42FEF">
        <w:t>сукцинат</w:t>
      </w:r>
      <w:proofErr w:type="spellEnd"/>
      <w:r w:rsidRPr="00D42FEF">
        <w:t xml:space="preserve"> </w:t>
      </w:r>
      <w:proofErr w:type="spellStart"/>
      <w:r w:rsidRPr="00D42FEF">
        <w:t>доксиламина</w:t>
      </w:r>
      <w:proofErr w:type="spellEnd"/>
      <w:r w:rsidRPr="00D42FEF">
        <w:t xml:space="preserve"> может обострять синдром ночного апноэ (увеличение количества и длительности остановок дыхания).</w:t>
      </w:r>
    </w:p>
    <w:p w14:paraId="4C470114" w14:textId="77777777" w:rsidR="00B31222" w:rsidRPr="00D42FEF" w:rsidRDefault="00B31222" w:rsidP="00D42FEF">
      <w:pPr>
        <w:jc w:val="both"/>
        <w:rPr>
          <w:rFonts w:eastAsia="Calibri"/>
        </w:rPr>
      </w:pPr>
      <w:r w:rsidRPr="00D42FEF">
        <w:t>Риск злоупотребления и возникновения лекарственной зависимости низкий. Однако сообщалось о случаях злоупотребления, вследствие чего возникала лекарственная зависимость. Следует тщательно контролировать признаки злоупотребления или зависимости от лекарственного средства. Продолжительность лечения не должна превышать 5 дней. Не рекомендуется применять лекарственное средство пациентам с нарушениями, вызванными приемом психоактивных веществ, в анамнезе.</w:t>
      </w:r>
    </w:p>
    <w:p w14:paraId="4C470115" w14:textId="77777777" w:rsidR="00B31222" w:rsidRPr="00D42FEF" w:rsidRDefault="00B31222" w:rsidP="00D42FEF">
      <w:pPr>
        <w:jc w:val="both"/>
        <w:rPr>
          <w:rFonts w:eastAsia="Calibri"/>
        </w:rPr>
      </w:pPr>
      <w:proofErr w:type="spellStart"/>
      <w:r w:rsidRPr="00D42FEF">
        <w:t>Доксиламина</w:t>
      </w:r>
      <w:proofErr w:type="spellEnd"/>
      <w:r w:rsidRPr="00D42FEF">
        <w:t xml:space="preserve"> </w:t>
      </w:r>
      <w:proofErr w:type="spellStart"/>
      <w:r w:rsidRPr="00D42FEF">
        <w:t>сукцинат</w:t>
      </w:r>
      <w:proofErr w:type="spellEnd"/>
      <w:r w:rsidRPr="00D42FEF">
        <w:t xml:space="preserve"> остается в организме в течение примерно 5 периодов полувыведения (см. раздел «Фармакокинетика»).</w:t>
      </w:r>
    </w:p>
    <w:p w14:paraId="4C470116" w14:textId="77777777" w:rsidR="00B31222" w:rsidRPr="00D42FEF" w:rsidRDefault="00B31222" w:rsidP="00D42FEF">
      <w:pPr>
        <w:jc w:val="both"/>
        <w:rPr>
          <w:rFonts w:eastAsia="Calibri"/>
        </w:rPr>
      </w:pPr>
      <w:r w:rsidRPr="00D42FEF">
        <w:t>Период полувыведения может быть значительно длиннее у пожилых людей или у лиц, страдающих почечной или печеночной недостаточностью. При повторных применениях лекарственное средство или его метаболиты достигают равновесного состояния гораздо позже и на более высоком уровне. Эффективность и безопасность применения лекарственного средства могут быть оценены только по достижении равновесного состояния.</w:t>
      </w:r>
    </w:p>
    <w:p w14:paraId="4C470117" w14:textId="77777777" w:rsidR="00B31222" w:rsidRPr="00D42FEF" w:rsidRDefault="00B31222" w:rsidP="00D42FEF">
      <w:pPr>
        <w:jc w:val="both"/>
      </w:pPr>
      <w:r w:rsidRPr="00D42FEF">
        <w:t>Коррекция дозы может потребоваться (см. «Способ применения и дозы»).</w:t>
      </w:r>
    </w:p>
    <w:p w14:paraId="4C470118" w14:textId="77777777" w:rsidR="00B31222" w:rsidRPr="00D42FEF" w:rsidRDefault="00B31222" w:rsidP="00D42FEF">
      <w:pPr>
        <w:jc w:val="both"/>
      </w:pPr>
      <w:r w:rsidRPr="00D42FEF">
        <w:t>Н</w:t>
      </w:r>
      <w:r w:rsidRPr="00D42FEF">
        <w:rPr>
          <w:vertAlign w:val="subscript"/>
        </w:rPr>
        <w:t>1</w:t>
      </w:r>
      <w:r w:rsidRPr="00D42FEF">
        <w:t xml:space="preserve">-антигистаминные средства следует применять с осторожностью пациентам пожилого возраста из-за риска возникновения когнитивных расстройств, седативного эффекта, медленной реакции и/или </w:t>
      </w:r>
      <w:proofErr w:type="spellStart"/>
      <w:r w:rsidRPr="00D42FEF">
        <w:t>вертиго</w:t>
      </w:r>
      <w:proofErr w:type="spellEnd"/>
      <w:r w:rsidRPr="00D42FEF">
        <w:t>/головокружений, что может увеличить риск падений (например, когда люди встают ночью) с последствиями, которые часто являются серьезными для данной категории пациентов.</w:t>
      </w:r>
    </w:p>
    <w:p w14:paraId="4C470119" w14:textId="77777777" w:rsidR="00B31222" w:rsidRPr="00D42FEF" w:rsidRDefault="00B31222" w:rsidP="00D42FEF">
      <w:pPr>
        <w:jc w:val="both"/>
        <w:rPr>
          <w:rFonts w:eastAsia="Calibri"/>
        </w:rPr>
      </w:pPr>
      <w:r w:rsidRPr="00D42FEF">
        <w:rPr>
          <w:u w:val="single"/>
        </w:rPr>
        <w:t>У пациентов пожилого возраста с почечной или печеночной недостаточностью</w:t>
      </w:r>
      <w:r w:rsidRPr="00D42FEF">
        <w:t xml:space="preserve"> наблюдается повышение концентрации лекарственного средства в плазме крови и снижение плазменного клиренса. Рекомендуется снизить дозу лекарственного средства.</w:t>
      </w:r>
    </w:p>
    <w:p w14:paraId="4C47011A" w14:textId="77777777" w:rsidR="001C24D9" w:rsidRPr="00D42FEF" w:rsidRDefault="00B31222" w:rsidP="00D42FEF">
      <w:pPr>
        <w:jc w:val="both"/>
      </w:pPr>
      <w:r w:rsidRPr="00D42FEF">
        <w:t>Для предотвращения сонливости в течение дня следует помнить, что продолжительность сна после приема лекарственного средства должна быть не менее 7 часов.</w:t>
      </w:r>
    </w:p>
    <w:p w14:paraId="4C47011B" w14:textId="77777777" w:rsidR="004F4211" w:rsidRPr="00D42FEF" w:rsidRDefault="004F4211" w:rsidP="00D42FEF">
      <w:pPr>
        <w:jc w:val="both"/>
        <w:rPr>
          <w:i/>
        </w:rPr>
      </w:pPr>
      <w:r w:rsidRPr="00D42FEF">
        <w:rPr>
          <w:i/>
        </w:rPr>
        <w:t>Важная информация о вспомогательных веществах</w:t>
      </w:r>
      <w:bookmarkEnd w:id="1"/>
    </w:p>
    <w:p w14:paraId="4C47011C" w14:textId="77777777" w:rsidR="001C24D9" w:rsidRPr="00D42FEF" w:rsidRDefault="001C24D9" w:rsidP="00D42FEF">
      <w:pPr>
        <w:widowControl w:val="0"/>
        <w:tabs>
          <w:tab w:val="left" w:pos="9781"/>
        </w:tabs>
        <w:adjustRightInd w:val="0"/>
        <w:jc w:val="both"/>
      </w:pPr>
      <w:r w:rsidRPr="00D42FEF">
        <w:t xml:space="preserve">Это лекарственное средство содержит 55 об. % этанола (этилового спирта), составляющего 135 мг/270 мг/540 мг этилового спирта в одной дозе лекарственного средства (соответствует 3,28 мл/6,56 мл/13,12 мл пива или 1,36 мл/2,73 мл/5,46 мл вина). Лекарственное средство может быть опасно для людей, страдающих алкоголизмом. Содержание этилового спирта следует учитывать беременным и кормящим грудью, пациентам из групп риска, </w:t>
      </w:r>
      <w:r w:rsidR="00D42FEF" w:rsidRPr="00D42FEF">
        <w:t>например,</w:t>
      </w:r>
      <w:r w:rsidRPr="00D42FEF">
        <w:t xml:space="preserve"> с заболеваниями печени или эпилепсией.</w:t>
      </w:r>
    </w:p>
    <w:p w14:paraId="4C47011D" w14:textId="77777777" w:rsidR="00167E19" w:rsidRPr="00D42FEF" w:rsidRDefault="00167E19" w:rsidP="00D42FEF">
      <w:pPr>
        <w:rPr>
          <w:lang w:val="uk-UA"/>
        </w:rPr>
      </w:pPr>
    </w:p>
    <w:p w14:paraId="4C47011E" w14:textId="77777777" w:rsidR="00167E19" w:rsidRPr="00D42FEF" w:rsidRDefault="00167E19" w:rsidP="00D42FEF">
      <w:pPr>
        <w:rPr>
          <w:i/>
        </w:rPr>
      </w:pPr>
      <w:r w:rsidRPr="00D42FEF">
        <w:rPr>
          <w:i/>
        </w:rPr>
        <w:t>Применение в период беременности и кормления грудью.</w:t>
      </w:r>
    </w:p>
    <w:p w14:paraId="4C47011F" w14:textId="77777777" w:rsidR="00B31222" w:rsidRPr="00D42FEF" w:rsidRDefault="00A24426" w:rsidP="00D42FEF">
      <w:pPr>
        <w:widowControl w:val="0"/>
        <w:tabs>
          <w:tab w:val="left" w:pos="9781"/>
        </w:tabs>
        <w:adjustRightInd w:val="0"/>
        <w:jc w:val="both"/>
        <w:rPr>
          <w:i/>
          <w:iCs/>
        </w:rPr>
      </w:pPr>
      <w:r w:rsidRPr="00D42FEF">
        <w:rPr>
          <w:i/>
          <w:iCs/>
        </w:rPr>
        <w:t>Беременность</w:t>
      </w:r>
    </w:p>
    <w:p w14:paraId="4C470120" w14:textId="77777777" w:rsidR="00B31222" w:rsidRPr="00D42FEF" w:rsidRDefault="00B31222" w:rsidP="00D42FEF">
      <w:pPr>
        <w:jc w:val="both"/>
      </w:pPr>
      <w:r w:rsidRPr="00D42FEF">
        <w:t xml:space="preserve">На основании имеющихся данных, </w:t>
      </w:r>
      <w:proofErr w:type="spellStart"/>
      <w:r w:rsidRPr="00D42FEF">
        <w:t>доксиламин</w:t>
      </w:r>
      <w:proofErr w:type="spellEnd"/>
      <w:r w:rsidRPr="00D42FEF">
        <w:t xml:space="preserve"> можно применять в период беременности после консультации с врачом. Если это лекарство применять в конце беременности, </w:t>
      </w:r>
      <w:proofErr w:type="spellStart"/>
      <w:r w:rsidRPr="00D42FEF">
        <w:t>атропиноподобные</w:t>
      </w:r>
      <w:proofErr w:type="spellEnd"/>
      <w:r w:rsidRPr="00D42FEF">
        <w:t xml:space="preserve"> и седативные свойства этой молекулы следует учитывать при наблюдении за новорожденным.</w:t>
      </w:r>
    </w:p>
    <w:p w14:paraId="4C470121" w14:textId="77777777" w:rsidR="001F74C3" w:rsidRPr="00D42FEF" w:rsidRDefault="00A24426" w:rsidP="00D42FEF">
      <w:pPr>
        <w:widowControl w:val="0"/>
        <w:tabs>
          <w:tab w:val="left" w:pos="9781"/>
        </w:tabs>
        <w:adjustRightInd w:val="0"/>
        <w:jc w:val="both"/>
        <w:rPr>
          <w:i/>
          <w:iCs/>
        </w:rPr>
      </w:pPr>
      <w:r w:rsidRPr="00D42FEF">
        <w:rPr>
          <w:i/>
          <w:iCs/>
        </w:rPr>
        <w:t>Период кормления грудью</w:t>
      </w:r>
    </w:p>
    <w:p w14:paraId="4C470122" w14:textId="77777777" w:rsidR="00B31222" w:rsidRPr="00D42FEF" w:rsidRDefault="00B31222" w:rsidP="00D42FEF">
      <w:pPr>
        <w:jc w:val="both"/>
        <w:rPr>
          <w:b/>
          <w:i/>
        </w:rPr>
      </w:pPr>
      <w:r w:rsidRPr="00D42FEF">
        <w:t xml:space="preserve">Неизвестно, проникает ли </w:t>
      </w:r>
      <w:proofErr w:type="spellStart"/>
      <w:r w:rsidRPr="00D42FEF">
        <w:t>доксиламин</w:t>
      </w:r>
      <w:proofErr w:type="spellEnd"/>
      <w:r w:rsidRPr="00D42FEF">
        <w:t xml:space="preserve"> в грудное молоко, поэтому не рекомендуется применять лекарство в период кормления грудью.</w:t>
      </w:r>
    </w:p>
    <w:p w14:paraId="4C470123" w14:textId="77777777" w:rsidR="002731EF" w:rsidRPr="00D42FEF" w:rsidRDefault="002731EF" w:rsidP="00D42FEF">
      <w:pPr>
        <w:widowControl w:val="0"/>
        <w:rPr>
          <w:b/>
          <w:i/>
          <w:lang w:val="uk-UA"/>
        </w:rPr>
      </w:pPr>
    </w:p>
    <w:p w14:paraId="4C470124" w14:textId="77777777" w:rsidR="002F698D" w:rsidRPr="00D42FEF" w:rsidRDefault="002F698D" w:rsidP="00D42FEF">
      <w:pPr>
        <w:jc w:val="both"/>
        <w:rPr>
          <w:i/>
        </w:rPr>
      </w:pPr>
      <w:r w:rsidRPr="00D42FEF">
        <w:rPr>
          <w:i/>
        </w:rPr>
        <w:t>Способность влиять на скорость реакции при управлении автотранспортом или работе с другими механизмами.</w:t>
      </w:r>
    </w:p>
    <w:p w14:paraId="4C470125" w14:textId="77777777" w:rsidR="00521F7C" w:rsidRPr="00D42FEF" w:rsidRDefault="001F74C3" w:rsidP="00D42FEF">
      <w:pPr>
        <w:jc w:val="both"/>
      </w:pPr>
      <w:r w:rsidRPr="00D42FEF">
        <w:t xml:space="preserve">Необходимо обращать внимание на риск возникновения дневной сонливости, особенно при одновременном применении лекарственного средства и алкоголя (см. раздел "Взаимодействие с другими лекарственными средствами и другие виды взаимодействий") у лиц, управляющих автотранспортом или работающих с другими механизмами. В случаях недостаточной продолжительности сна риск нарушения скорости реакции повышается. Поэтому следует избегать вождения автомобиля, работы с другими механизмами и других потенциально опасных видов деятельности по крайней мере в течение первой фазы лечения. </w:t>
      </w:r>
    </w:p>
    <w:p w14:paraId="4C470126" w14:textId="77777777" w:rsidR="001F74C3" w:rsidRPr="00D42FEF" w:rsidRDefault="001F74C3" w:rsidP="00D42FEF">
      <w:pPr>
        <w:jc w:val="both"/>
        <w:rPr>
          <w:lang w:val="uk-UA" w:eastAsia="uk-UA"/>
        </w:rPr>
      </w:pPr>
    </w:p>
    <w:p w14:paraId="4C470127" w14:textId="77777777" w:rsidR="002D7B4F" w:rsidRPr="00D42FEF" w:rsidRDefault="002D7B4F" w:rsidP="00D42FEF">
      <w:pPr>
        <w:widowControl w:val="0"/>
        <w:rPr>
          <w:b/>
          <w:i/>
        </w:rPr>
      </w:pPr>
      <w:bookmarkStart w:id="2" w:name="_Hlk67484717"/>
      <w:r w:rsidRPr="00D42FEF">
        <w:rPr>
          <w:b/>
          <w:i/>
        </w:rPr>
        <w:t>Способ применения и дозы.</w:t>
      </w:r>
    </w:p>
    <w:p w14:paraId="4C470128" w14:textId="77777777" w:rsidR="001F74C3" w:rsidRPr="00D42FEF" w:rsidRDefault="001F74C3" w:rsidP="00D42FEF">
      <w:pPr>
        <w:jc w:val="both"/>
        <w:rPr>
          <w:bCs/>
        </w:rPr>
      </w:pPr>
      <w:r w:rsidRPr="00D42FEF">
        <w:t>Для перорального применения. Применять за 15–30 минут до сна.</w:t>
      </w:r>
    </w:p>
    <w:p w14:paraId="4C470129" w14:textId="77777777" w:rsidR="001F74C3" w:rsidRPr="00D42FEF" w:rsidRDefault="001F74C3" w:rsidP="00D42FEF">
      <w:pPr>
        <w:jc w:val="both"/>
        <w:rPr>
          <w:bCs/>
        </w:rPr>
      </w:pPr>
      <w:r w:rsidRPr="00D42FEF">
        <w:t>Рекомендуемая доза составляет 7,5–15 мг (7–13 капель) в сутки. При необходимости дозу можно увеличить до 30 мг (26 капель) в сутки. Капли следует принимать с достаточным количеством жидкости, примерно составляет ½ стакана воды.</w:t>
      </w:r>
    </w:p>
    <w:p w14:paraId="4C47012A" w14:textId="77777777" w:rsidR="001F74C3" w:rsidRPr="00D42FEF" w:rsidRDefault="001F74C3" w:rsidP="00D42FEF">
      <w:pPr>
        <w:jc w:val="both"/>
        <w:rPr>
          <w:bCs/>
        </w:rPr>
      </w:pPr>
      <w:r w:rsidRPr="00D42FEF">
        <w:t>Пациентам пожилого возраста и пациентам с почечной или печеночной недостаточностью рекомендуется снизить дозу.</w:t>
      </w:r>
    </w:p>
    <w:p w14:paraId="4C47012B" w14:textId="77777777" w:rsidR="001F74C3" w:rsidRPr="00D42FEF" w:rsidRDefault="001F74C3" w:rsidP="00D42FEF">
      <w:pPr>
        <w:jc w:val="both"/>
        <w:rPr>
          <w:bCs/>
        </w:rPr>
      </w:pPr>
      <w:r w:rsidRPr="00D42FEF">
        <w:t>Продолжительность курса лечения составляет 2-5 дней.</w:t>
      </w:r>
    </w:p>
    <w:p w14:paraId="4C47012C" w14:textId="77777777" w:rsidR="001F74C3" w:rsidRPr="00D42FEF" w:rsidRDefault="001F74C3" w:rsidP="00D42FEF">
      <w:pPr>
        <w:jc w:val="both"/>
        <w:rPr>
          <w:bCs/>
        </w:rPr>
      </w:pPr>
      <w:r w:rsidRPr="00D42FEF">
        <w:t>Если бессонница сохраняется дольше 5 дней, необходимо проконсультироваться с врачом по поводу целесообразности дальнейшего применения лекарственного средства.</w:t>
      </w:r>
    </w:p>
    <w:bookmarkEnd w:id="2"/>
    <w:p w14:paraId="4C47012D" w14:textId="77777777" w:rsidR="001F74C3" w:rsidRPr="00D42FEF" w:rsidRDefault="001F74C3" w:rsidP="00D42FEF">
      <w:pPr>
        <w:jc w:val="both"/>
        <w:rPr>
          <w:lang w:val="uk-UA"/>
        </w:rPr>
      </w:pPr>
    </w:p>
    <w:p w14:paraId="4C47012E" w14:textId="77777777" w:rsidR="008D2581" w:rsidRPr="00D42FEF" w:rsidRDefault="008D2581" w:rsidP="00D42FEF">
      <w:pPr>
        <w:jc w:val="both"/>
        <w:rPr>
          <w:bCs/>
        </w:rPr>
      </w:pPr>
      <w:r w:rsidRPr="00D42FEF">
        <w:rPr>
          <w:i/>
        </w:rPr>
        <w:t>Дети.</w:t>
      </w:r>
    </w:p>
    <w:p w14:paraId="4C47012F" w14:textId="77777777" w:rsidR="001F74C3" w:rsidRPr="00D42FEF" w:rsidRDefault="001F74C3" w:rsidP="00D42FEF">
      <w:pPr>
        <w:jc w:val="both"/>
        <w:rPr>
          <w:b/>
          <w:i/>
        </w:rPr>
      </w:pPr>
      <w:r w:rsidRPr="00D42FEF">
        <w:t>Лекарственное средство не применять детям до 18 лет.</w:t>
      </w:r>
    </w:p>
    <w:p w14:paraId="4C470130" w14:textId="77777777" w:rsidR="008D2581" w:rsidRPr="00D42FEF" w:rsidRDefault="008D2581" w:rsidP="00D42FEF">
      <w:pPr>
        <w:rPr>
          <w:lang w:val="uk-UA"/>
        </w:rPr>
      </w:pPr>
    </w:p>
    <w:p w14:paraId="4C470131" w14:textId="77777777" w:rsidR="005D27E3" w:rsidRPr="00D42FEF" w:rsidRDefault="005D27E3" w:rsidP="00D42FEF">
      <w:pPr>
        <w:rPr>
          <w:b/>
          <w:i/>
        </w:rPr>
      </w:pPr>
      <w:r w:rsidRPr="00D42FEF">
        <w:rPr>
          <w:b/>
          <w:i/>
        </w:rPr>
        <w:t>Передозировка.</w:t>
      </w:r>
    </w:p>
    <w:p w14:paraId="4C470132" w14:textId="77777777" w:rsidR="006522D7" w:rsidRPr="00D42FEF" w:rsidRDefault="006522D7" w:rsidP="00D42FEF">
      <w:pPr>
        <w:jc w:val="both"/>
        <w:rPr>
          <w:bCs/>
        </w:rPr>
      </w:pPr>
      <w:r w:rsidRPr="00D42FEF">
        <w:t xml:space="preserve">Первыми признаками острого отравления являются сонливость и признаки антихолинергических эффектов: возбуждение, расширение зрачков, паралич аккомодации, сухость во рту, краснота лица и шеи, гипертермия, синусовая тахикардия. Делирий, галлюцинации и </w:t>
      </w:r>
      <w:proofErr w:type="spellStart"/>
      <w:r w:rsidRPr="00D42FEF">
        <w:t>атетозные</w:t>
      </w:r>
      <w:proofErr w:type="spellEnd"/>
      <w:r w:rsidRPr="00D42FEF">
        <w:t xml:space="preserve"> движения чаще наблюдаются у детей, иногда они являются предвестниками судорог – редких осложнений массивного отравления или даже комы. Даже если судороги не возникают, острое отравление </w:t>
      </w:r>
      <w:proofErr w:type="spellStart"/>
      <w:r w:rsidRPr="00D42FEF">
        <w:t>доксиламином</w:t>
      </w:r>
      <w:proofErr w:type="spellEnd"/>
      <w:r w:rsidRPr="00D42FEF">
        <w:t xml:space="preserve"> иногда влечет за собой </w:t>
      </w:r>
      <w:proofErr w:type="spellStart"/>
      <w:r w:rsidRPr="00D42FEF">
        <w:t>рабдомиолиз</w:t>
      </w:r>
      <w:proofErr w:type="spellEnd"/>
      <w:r w:rsidRPr="00D42FEF">
        <w:t xml:space="preserve">, который может осложниться острой почечной недостаточностью. Такое мышечное расстройство распространено, что требует проведения систематического скрининга путем измерения активности </w:t>
      </w:r>
      <w:proofErr w:type="spellStart"/>
      <w:r w:rsidRPr="00D42FEF">
        <w:t>креатинфосфокиназы</w:t>
      </w:r>
      <w:proofErr w:type="spellEnd"/>
      <w:r w:rsidRPr="00D42FEF">
        <w:t>.</w:t>
      </w:r>
    </w:p>
    <w:p w14:paraId="4C470133" w14:textId="77777777" w:rsidR="006522D7" w:rsidRPr="00D42FEF" w:rsidRDefault="006522D7" w:rsidP="00D42FEF">
      <w:pPr>
        <w:jc w:val="both"/>
        <w:rPr>
          <w:bCs/>
        </w:rPr>
      </w:pPr>
      <w:r w:rsidRPr="00D42FEF">
        <w:t>Лечение симптоматическое. При раннем начале лечения рекомендуется использовать активированный уголь (50 г взрослым, 1 г/кг детям).</w:t>
      </w:r>
    </w:p>
    <w:p w14:paraId="4C470134" w14:textId="77777777" w:rsidR="005515E6" w:rsidRPr="00D42FEF" w:rsidRDefault="005515E6" w:rsidP="00D42FEF">
      <w:pPr>
        <w:rPr>
          <w:lang w:val="uk-UA"/>
        </w:rPr>
      </w:pPr>
    </w:p>
    <w:p w14:paraId="4C470135" w14:textId="77777777" w:rsidR="002D7B4F" w:rsidRPr="00D42FEF" w:rsidRDefault="005D27E3" w:rsidP="00D42FEF">
      <w:pPr>
        <w:rPr>
          <w:b/>
          <w:i/>
        </w:rPr>
      </w:pPr>
      <w:r w:rsidRPr="00D42FEF">
        <w:rPr>
          <w:b/>
          <w:i/>
        </w:rPr>
        <w:t>Побочные реакции.</w:t>
      </w:r>
    </w:p>
    <w:p w14:paraId="4C470136" w14:textId="77777777" w:rsidR="00E001A1" w:rsidRPr="00D42FEF" w:rsidRDefault="00E001A1" w:rsidP="00D42FEF">
      <w:pPr>
        <w:tabs>
          <w:tab w:val="left" w:pos="2550"/>
        </w:tabs>
        <w:jc w:val="both"/>
        <w:rPr>
          <w:bCs/>
        </w:rPr>
      </w:pPr>
      <w:r w:rsidRPr="00D42FEF">
        <w:t>Антихолинергические эффекты: запор, задержка мочеиспускания, сухость во рту, нарушение зрения (нарушение аккомодации, нечеткость зрения, галлюцинации, дефект зрения), сильное сердцебиение, спутанность сознания.</w:t>
      </w:r>
    </w:p>
    <w:p w14:paraId="4C470137" w14:textId="77777777" w:rsidR="00E001A1" w:rsidRPr="00D42FEF" w:rsidRDefault="00E001A1" w:rsidP="00D42FEF">
      <w:pPr>
        <w:tabs>
          <w:tab w:val="left" w:pos="2550"/>
        </w:tabs>
        <w:jc w:val="both"/>
        <w:rPr>
          <w:bCs/>
        </w:rPr>
      </w:pPr>
      <w:r w:rsidRPr="00D42FEF">
        <w:t>Дневная сонливость: При развитии такого эффекта необходимо снизить дозу.</w:t>
      </w:r>
    </w:p>
    <w:p w14:paraId="4C470138" w14:textId="77777777" w:rsidR="00E001A1" w:rsidRPr="00D42FEF" w:rsidRDefault="00E001A1" w:rsidP="00D42FEF">
      <w:pPr>
        <w:tabs>
          <w:tab w:val="left" w:pos="2550"/>
        </w:tabs>
        <w:jc w:val="both"/>
        <w:rPr>
          <w:bCs/>
        </w:rPr>
      </w:pPr>
      <w:r w:rsidRPr="00D42FEF">
        <w:t>Сообщалось о случаях злоупотребления и возникновении лекарственной зависимости.</w:t>
      </w:r>
    </w:p>
    <w:p w14:paraId="4C470139" w14:textId="77777777" w:rsidR="00CD553D" w:rsidRPr="00D42FEF" w:rsidRDefault="00E001A1" w:rsidP="00D42FEF">
      <w:pPr>
        <w:tabs>
          <w:tab w:val="left" w:pos="2550"/>
        </w:tabs>
        <w:jc w:val="both"/>
        <w:rPr>
          <w:rFonts w:eastAsia="Calibri"/>
        </w:rPr>
      </w:pPr>
      <w:r w:rsidRPr="00D42FEF">
        <w:t>Кроме того, известно, что H</w:t>
      </w:r>
      <w:r w:rsidRPr="00D42FEF">
        <w:rPr>
          <w:vertAlign w:val="subscript"/>
        </w:rPr>
        <w:t>1</w:t>
      </w:r>
      <w:r w:rsidRPr="00D42FEF">
        <w:t>-антигистаминные лекарственные средства оказывают седативный эффект, когнитивные расстройства и нарушения психомоторной активности.</w:t>
      </w:r>
    </w:p>
    <w:p w14:paraId="4C47013A" w14:textId="77777777" w:rsidR="00CD553D" w:rsidRPr="00D42FEF" w:rsidRDefault="00CD553D" w:rsidP="00D42FEF">
      <w:pPr>
        <w:jc w:val="both"/>
        <w:rPr>
          <w:i/>
          <w:iCs/>
        </w:rPr>
      </w:pPr>
      <w:r w:rsidRPr="00D42FEF">
        <w:rPr>
          <w:bCs/>
          <w:i/>
          <w:iCs/>
          <w:u w:val="single"/>
        </w:rPr>
        <w:t>Сообщение о подозреваемых побочных реакциях</w:t>
      </w:r>
    </w:p>
    <w:p w14:paraId="4C47013B" w14:textId="77777777" w:rsidR="00CD553D" w:rsidRPr="00D42FEF" w:rsidRDefault="00CD553D" w:rsidP="00D42FEF">
      <w:pPr>
        <w:jc w:val="both"/>
        <w:rPr>
          <w:i/>
          <w:iCs/>
        </w:rPr>
      </w:pPr>
      <w:r w:rsidRPr="00D42FEF">
        <w:t>Сообщения о подозреваемых побочных реакциях после регистрации лекарственного средства являются важной процедурой. Это позволяет продолжать мониторинг соотношения «польза/риск» для соответствующего лекарственного средства. Медицинским работникам необходимо сообщать о любых подозреваемых побочных реакциях через национальную систему сообщений.</w:t>
      </w:r>
    </w:p>
    <w:p w14:paraId="4C47013C" w14:textId="77777777" w:rsidR="00214AAD" w:rsidRPr="00D42FEF" w:rsidRDefault="00214AAD" w:rsidP="00D42FEF">
      <w:pPr>
        <w:rPr>
          <w:lang w:val="uk-UA"/>
        </w:rPr>
      </w:pPr>
    </w:p>
    <w:p w14:paraId="4C47013D" w14:textId="77777777" w:rsidR="00A542AA" w:rsidRPr="00D42FEF" w:rsidRDefault="005D27E3" w:rsidP="00D42FEF">
      <w:r w:rsidRPr="00D42FEF">
        <w:rPr>
          <w:b/>
          <w:i/>
        </w:rPr>
        <w:t xml:space="preserve">Срок годности. </w:t>
      </w:r>
      <w:r w:rsidRPr="00D42FEF">
        <w:t>2 года.</w:t>
      </w:r>
    </w:p>
    <w:p w14:paraId="4C47013E" w14:textId="77777777" w:rsidR="00084CAA" w:rsidRPr="00D42FEF" w:rsidRDefault="00084CAA" w:rsidP="00D42FEF">
      <w:pPr>
        <w:widowControl w:val="0"/>
        <w:jc w:val="both"/>
      </w:pPr>
      <w:r w:rsidRPr="00D42FEF">
        <w:t>После раскрытия флакона – 6 месяцев.</w:t>
      </w:r>
    </w:p>
    <w:p w14:paraId="4C47013F" w14:textId="77777777" w:rsidR="002D7B4F" w:rsidRPr="00D42FEF" w:rsidRDefault="002D7B4F" w:rsidP="00D42FEF">
      <w:pPr>
        <w:rPr>
          <w:lang w:val="uk-UA"/>
        </w:rPr>
      </w:pPr>
    </w:p>
    <w:p w14:paraId="4C470140" w14:textId="77777777" w:rsidR="005D27E3" w:rsidRPr="00D42FEF" w:rsidRDefault="005D27E3" w:rsidP="00D42FEF">
      <w:pPr>
        <w:jc w:val="both"/>
        <w:rPr>
          <w:b/>
        </w:rPr>
      </w:pPr>
      <w:r w:rsidRPr="00D42FEF">
        <w:rPr>
          <w:b/>
        </w:rPr>
        <w:t>Условия хранения.</w:t>
      </w:r>
    </w:p>
    <w:p w14:paraId="4C470141" w14:textId="77777777" w:rsidR="00A102F3" w:rsidRPr="00D42FEF" w:rsidRDefault="00A102F3" w:rsidP="00D42FEF">
      <w:pPr>
        <w:widowControl w:val="0"/>
        <w:jc w:val="both"/>
      </w:pPr>
      <w:r w:rsidRPr="00D42FEF">
        <w:t>Хранить в оригинальной упаковке при температуре не выше 25 °С. Хранить в недоступном для детей месте.</w:t>
      </w:r>
    </w:p>
    <w:p w14:paraId="4C470142" w14:textId="77777777" w:rsidR="0071543C" w:rsidRPr="00D42FEF" w:rsidRDefault="0071543C" w:rsidP="00D42FEF">
      <w:pPr>
        <w:rPr>
          <w:lang w:val="uk-UA"/>
        </w:rPr>
      </w:pPr>
    </w:p>
    <w:p w14:paraId="4C470143" w14:textId="77777777" w:rsidR="00CD4133" w:rsidRPr="00D42FEF" w:rsidRDefault="0091728E" w:rsidP="00D42FEF">
      <w:pPr>
        <w:jc w:val="both"/>
        <w:rPr>
          <w:b/>
        </w:rPr>
      </w:pPr>
      <w:r w:rsidRPr="00D42FEF">
        <w:rPr>
          <w:b/>
        </w:rPr>
        <w:t xml:space="preserve">Упаковка. </w:t>
      </w:r>
    </w:p>
    <w:p w14:paraId="4C470144" w14:textId="77777777" w:rsidR="005515E6" w:rsidRPr="00D42FEF" w:rsidRDefault="005515E6" w:rsidP="00D42FEF">
      <w:pPr>
        <w:widowControl w:val="0"/>
        <w:tabs>
          <w:tab w:val="left" w:pos="9781"/>
        </w:tabs>
        <w:adjustRightInd w:val="0"/>
        <w:ind w:left="850" w:hanging="850"/>
        <w:jc w:val="both"/>
      </w:pPr>
      <w:bookmarkStart w:id="3" w:name="_Hlk16235698"/>
      <w:r w:rsidRPr="00D42FEF">
        <w:t>По 20 мл или 50 мл во флаконе-капельнице; по 1 флакону-капельнице в пачке.</w:t>
      </w:r>
      <w:bookmarkEnd w:id="3"/>
    </w:p>
    <w:p w14:paraId="4C470145" w14:textId="77777777" w:rsidR="00B4003F" w:rsidRPr="00D42FEF" w:rsidRDefault="00B4003F" w:rsidP="00D42FEF">
      <w:pPr>
        <w:jc w:val="both"/>
        <w:rPr>
          <w:lang w:val="uk-UA"/>
        </w:rPr>
      </w:pPr>
    </w:p>
    <w:p w14:paraId="4C470146" w14:textId="77777777" w:rsidR="002D7B4F" w:rsidRPr="00D42FEF" w:rsidRDefault="002D7B4F" w:rsidP="00D42FEF">
      <w:r w:rsidRPr="00D42FEF">
        <w:rPr>
          <w:b/>
        </w:rPr>
        <w:t xml:space="preserve">Категория отпуска. </w:t>
      </w:r>
      <w:r w:rsidRPr="00D42FEF">
        <w:t>По рецепту.</w:t>
      </w:r>
    </w:p>
    <w:p w14:paraId="4C470147" w14:textId="77777777" w:rsidR="002D7B4F" w:rsidRPr="00D42FEF" w:rsidRDefault="002D7B4F" w:rsidP="00D42FEF">
      <w:pPr>
        <w:rPr>
          <w:lang w:val="uk-UA"/>
        </w:rPr>
      </w:pPr>
    </w:p>
    <w:p w14:paraId="4C470148" w14:textId="77777777" w:rsidR="00B16656" w:rsidRPr="00D42FEF" w:rsidRDefault="00B16656" w:rsidP="00D42FEF">
      <w:pPr>
        <w:jc w:val="both"/>
        <w:rPr>
          <w:b/>
        </w:rPr>
      </w:pPr>
      <w:r w:rsidRPr="00D42FEF">
        <w:rPr>
          <w:b/>
        </w:rPr>
        <w:t xml:space="preserve">Производитель </w:t>
      </w:r>
      <w:r w:rsidRPr="00D42FEF">
        <w:t xml:space="preserve">ЗАО «Фармацевтическая </w:t>
      </w:r>
      <w:r w:rsidR="00D42FEF" w:rsidRPr="00D42FEF">
        <w:t>фирма «Дарница»</w:t>
      </w:r>
      <w:r w:rsidRPr="00D42FEF">
        <w:t>.</w:t>
      </w:r>
    </w:p>
    <w:p w14:paraId="4C470149" w14:textId="77777777" w:rsidR="00B16656" w:rsidRPr="00D42FEF" w:rsidRDefault="00B16656" w:rsidP="00D42FEF">
      <w:pPr>
        <w:jc w:val="both"/>
        <w:rPr>
          <w:b/>
          <w:lang w:val="uk-UA"/>
        </w:rPr>
      </w:pPr>
    </w:p>
    <w:p w14:paraId="4C47014A" w14:textId="77777777" w:rsidR="005D27E3" w:rsidRPr="00D42FEF" w:rsidRDefault="005D27E3" w:rsidP="00D42FEF">
      <w:pPr>
        <w:jc w:val="both"/>
        <w:rPr>
          <w:b/>
          <w:bCs/>
        </w:rPr>
      </w:pPr>
      <w:r w:rsidRPr="00D42FEF">
        <w:rPr>
          <w:b/>
          <w:bCs/>
        </w:rPr>
        <w:t>Местонахождение производителя и адрес места осуществления его деятельности.</w:t>
      </w:r>
    </w:p>
    <w:p w14:paraId="4C47014B" w14:textId="77777777" w:rsidR="004B6256" w:rsidRPr="00D42FEF" w:rsidRDefault="00B16656" w:rsidP="00D42FEF">
      <w:pPr>
        <w:jc w:val="both"/>
      </w:pPr>
      <w:r w:rsidRPr="00D42FEF">
        <w:t>Украина, 02093, г. Киев, ул. Бориспольская, 13.</w:t>
      </w:r>
    </w:p>
    <w:p w14:paraId="4C47014C" w14:textId="77777777" w:rsidR="004B6256" w:rsidRPr="00D42FEF" w:rsidRDefault="004B6256" w:rsidP="00D42FEF">
      <w:pPr>
        <w:jc w:val="both"/>
        <w:rPr>
          <w:lang w:val="uk-UA"/>
        </w:rPr>
      </w:pPr>
    </w:p>
    <w:p w14:paraId="4C47014D" w14:textId="77777777" w:rsidR="00BC4634" w:rsidRPr="00D42FEF" w:rsidRDefault="00B16656" w:rsidP="00D42FEF">
      <w:pPr>
        <w:jc w:val="both"/>
        <w:rPr>
          <w:b/>
        </w:rPr>
      </w:pPr>
      <w:r w:rsidRPr="00D42FEF">
        <w:rPr>
          <w:b/>
        </w:rPr>
        <w:t>Дата последнего пересмотра.</w:t>
      </w:r>
      <w:r w:rsidRPr="00D42FEF">
        <w:t xml:space="preserve"> 10.09.2021.</w:t>
      </w:r>
    </w:p>
    <w:sectPr w:rsidR="00BC4634" w:rsidRPr="00D42FEF" w:rsidSect="00F05F80">
      <w:footerReference w:type="default" r:id="rId10"/>
      <w:pgSz w:w="11909" w:h="16834"/>
      <w:pgMar w:top="1134" w:right="850" w:bottom="1134" w:left="1701" w:header="568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96856" w14:textId="77777777" w:rsidR="00157F0F" w:rsidRDefault="00157F0F" w:rsidP="005237BD">
      <w:r>
        <w:separator/>
      </w:r>
    </w:p>
  </w:endnote>
  <w:endnote w:type="continuationSeparator" w:id="0">
    <w:p w14:paraId="1340E3B9" w14:textId="77777777" w:rsidR="00157F0F" w:rsidRDefault="00157F0F" w:rsidP="00523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70152" w14:textId="77777777" w:rsidR="00742943" w:rsidRDefault="00742943" w:rsidP="0074294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D42FEF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1CE6B" w14:textId="77777777" w:rsidR="00157F0F" w:rsidRDefault="00157F0F" w:rsidP="005237BD">
      <w:r>
        <w:separator/>
      </w:r>
    </w:p>
  </w:footnote>
  <w:footnote w:type="continuationSeparator" w:id="0">
    <w:p w14:paraId="521E0372" w14:textId="77777777" w:rsidR="00157F0F" w:rsidRDefault="00157F0F" w:rsidP="00523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2427"/>
    <w:multiLevelType w:val="hybridMultilevel"/>
    <w:tmpl w:val="6FAEF09C"/>
    <w:lvl w:ilvl="0" w:tplc="7794F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C3EAB"/>
    <w:multiLevelType w:val="hybridMultilevel"/>
    <w:tmpl w:val="FE3E1BA4"/>
    <w:lvl w:ilvl="0" w:tplc="0C3A7C68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2A92A02"/>
    <w:multiLevelType w:val="hybridMultilevel"/>
    <w:tmpl w:val="95009380"/>
    <w:lvl w:ilvl="0" w:tplc="7794F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515EA"/>
    <w:multiLevelType w:val="hybridMultilevel"/>
    <w:tmpl w:val="D7880D04"/>
    <w:lvl w:ilvl="0" w:tplc="E75C72F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A617B"/>
    <w:multiLevelType w:val="hybridMultilevel"/>
    <w:tmpl w:val="08F29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4074A"/>
    <w:multiLevelType w:val="hybridMultilevel"/>
    <w:tmpl w:val="AC34FAB6"/>
    <w:lvl w:ilvl="0" w:tplc="7794F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8434A"/>
    <w:multiLevelType w:val="hybridMultilevel"/>
    <w:tmpl w:val="7E7CDE42"/>
    <w:lvl w:ilvl="0" w:tplc="7794F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500DA"/>
    <w:multiLevelType w:val="hybridMultilevel"/>
    <w:tmpl w:val="9014C4EA"/>
    <w:lvl w:ilvl="0" w:tplc="E75C72F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60D65"/>
    <w:multiLevelType w:val="hybridMultilevel"/>
    <w:tmpl w:val="34949384"/>
    <w:lvl w:ilvl="0" w:tplc="5C9C202A">
      <w:start w:val="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81690"/>
    <w:multiLevelType w:val="hybridMultilevel"/>
    <w:tmpl w:val="A4ACDAA0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5C0E41D5"/>
    <w:multiLevelType w:val="hybridMultilevel"/>
    <w:tmpl w:val="8AA67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2F2431"/>
    <w:multiLevelType w:val="hybridMultilevel"/>
    <w:tmpl w:val="57EEBBCC"/>
    <w:lvl w:ilvl="0" w:tplc="7794F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1213AC"/>
    <w:multiLevelType w:val="singleLevel"/>
    <w:tmpl w:val="E1040FF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3"/>
  </w:num>
  <w:num w:numId="5">
    <w:abstractNumId w:val="7"/>
  </w:num>
  <w:num w:numId="6">
    <w:abstractNumId w:val="9"/>
  </w:num>
  <w:num w:numId="7">
    <w:abstractNumId w:val="11"/>
  </w:num>
  <w:num w:numId="8">
    <w:abstractNumId w:val="2"/>
  </w:num>
  <w:num w:numId="9">
    <w:abstractNumId w:val="0"/>
  </w:num>
  <w:num w:numId="10">
    <w:abstractNumId w:val="0"/>
  </w:num>
  <w:num w:numId="11">
    <w:abstractNumId w:val="10"/>
  </w:num>
  <w:num w:numId="12">
    <w:abstractNumId w:val="4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5519"/>
    <w:rsid w:val="00001AF8"/>
    <w:rsid w:val="0000760F"/>
    <w:rsid w:val="00013A33"/>
    <w:rsid w:val="00014165"/>
    <w:rsid w:val="0001572B"/>
    <w:rsid w:val="00032933"/>
    <w:rsid w:val="00042D15"/>
    <w:rsid w:val="00044700"/>
    <w:rsid w:val="00045B9A"/>
    <w:rsid w:val="00055BE5"/>
    <w:rsid w:val="0005696A"/>
    <w:rsid w:val="0006641E"/>
    <w:rsid w:val="000812DE"/>
    <w:rsid w:val="000822AE"/>
    <w:rsid w:val="00082F39"/>
    <w:rsid w:val="00084CAA"/>
    <w:rsid w:val="00087A7A"/>
    <w:rsid w:val="00093AFF"/>
    <w:rsid w:val="000A4732"/>
    <w:rsid w:val="000B7AD2"/>
    <w:rsid w:val="000C0253"/>
    <w:rsid w:val="000C126B"/>
    <w:rsid w:val="000C4D08"/>
    <w:rsid w:val="000F4149"/>
    <w:rsid w:val="000F711B"/>
    <w:rsid w:val="00122A69"/>
    <w:rsid w:val="00125E3F"/>
    <w:rsid w:val="0014028A"/>
    <w:rsid w:val="001403FC"/>
    <w:rsid w:val="00153D12"/>
    <w:rsid w:val="00153D18"/>
    <w:rsid w:val="00157F0F"/>
    <w:rsid w:val="00160F0E"/>
    <w:rsid w:val="00167E19"/>
    <w:rsid w:val="00185F2F"/>
    <w:rsid w:val="001876DC"/>
    <w:rsid w:val="001A24F4"/>
    <w:rsid w:val="001A5F26"/>
    <w:rsid w:val="001B58A3"/>
    <w:rsid w:val="001B5D03"/>
    <w:rsid w:val="001C24D9"/>
    <w:rsid w:val="001C2C3D"/>
    <w:rsid w:val="001C6861"/>
    <w:rsid w:val="001D0B0D"/>
    <w:rsid w:val="001D218D"/>
    <w:rsid w:val="001D3DC9"/>
    <w:rsid w:val="001D7699"/>
    <w:rsid w:val="001E4612"/>
    <w:rsid w:val="001F74C3"/>
    <w:rsid w:val="00214AAD"/>
    <w:rsid w:val="00214E59"/>
    <w:rsid w:val="00226BA6"/>
    <w:rsid w:val="00227282"/>
    <w:rsid w:val="002375F8"/>
    <w:rsid w:val="00260082"/>
    <w:rsid w:val="002704CD"/>
    <w:rsid w:val="002731EF"/>
    <w:rsid w:val="00274218"/>
    <w:rsid w:val="00275784"/>
    <w:rsid w:val="0028487E"/>
    <w:rsid w:val="00287287"/>
    <w:rsid w:val="00287977"/>
    <w:rsid w:val="002A1132"/>
    <w:rsid w:val="002A2BCC"/>
    <w:rsid w:val="002B0BF8"/>
    <w:rsid w:val="002D7B4F"/>
    <w:rsid w:val="002E4A19"/>
    <w:rsid w:val="002F698D"/>
    <w:rsid w:val="00303522"/>
    <w:rsid w:val="0030601D"/>
    <w:rsid w:val="003102D8"/>
    <w:rsid w:val="003164FC"/>
    <w:rsid w:val="00320611"/>
    <w:rsid w:val="00321A2B"/>
    <w:rsid w:val="00323E6A"/>
    <w:rsid w:val="00326BAC"/>
    <w:rsid w:val="00332634"/>
    <w:rsid w:val="00335C4B"/>
    <w:rsid w:val="00340740"/>
    <w:rsid w:val="00342381"/>
    <w:rsid w:val="00347970"/>
    <w:rsid w:val="0036758E"/>
    <w:rsid w:val="00371C3C"/>
    <w:rsid w:val="003839FB"/>
    <w:rsid w:val="00393ED5"/>
    <w:rsid w:val="003C2867"/>
    <w:rsid w:val="003C46D3"/>
    <w:rsid w:val="003D1D78"/>
    <w:rsid w:val="003D62FE"/>
    <w:rsid w:val="003E3486"/>
    <w:rsid w:val="003F6C5F"/>
    <w:rsid w:val="004055C2"/>
    <w:rsid w:val="004060AB"/>
    <w:rsid w:val="004136EF"/>
    <w:rsid w:val="004144AD"/>
    <w:rsid w:val="004176F5"/>
    <w:rsid w:val="00420142"/>
    <w:rsid w:val="004212EC"/>
    <w:rsid w:val="00435B55"/>
    <w:rsid w:val="00442F94"/>
    <w:rsid w:val="00443076"/>
    <w:rsid w:val="00451646"/>
    <w:rsid w:val="00454BF5"/>
    <w:rsid w:val="004742AA"/>
    <w:rsid w:val="00482113"/>
    <w:rsid w:val="00491C9E"/>
    <w:rsid w:val="00495FAB"/>
    <w:rsid w:val="004A3330"/>
    <w:rsid w:val="004A51A6"/>
    <w:rsid w:val="004A6854"/>
    <w:rsid w:val="004B6256"/>
    <w:rsid w:val="004B7958"/>
    <w:rsid w:val="004D2127"/>
    <w:rsid w:val="004F1E93"/>
    <w:rsid w:val="004F3BEE"/>
    <w:rsid w:val="004F4211"/>
    <w:rsid w:val="005124AF"/>
    <w:rsid w:val="005177B1"/>
    <w:rsid w:val="00521F7C"/>
    <w:rsid w:val="005237BD"/>
    <w:rsid w:val="00531BF3"/>
    <w:rsid w:val="00540758"/>
    <w:rsid w:val="005515E6"/>
    <w:rsid w:val="00553C65"/>
    <w:rsid w:val="00591CD4"/>
    <w:rsid w:val="00595810"/>
    <w:rsid w:val="005A549E"/>
    <w:rsid w:val="005A7CEF"/>
    <w:rsid w:val="005D1D0C"/>
    <w:rsid w:val="005D27E3"/>
    <w:rsid w:val="005D383B"/>
    <w:rsid w:val="005E30C1"/>
    <w:rsid w:val="005E439D"/>
    <w:rsid w:val="005E43A6"/>
    <w:rsid w:val="005E45E7"/>
    <w:rsid w:val="005E5D66"/>
    <w:rsid w:val="0060523C"/>
    <w:rsid w:val="00607AEC"/>
    <w:rsid w:val="00607BBC"/>
    <w:rsid w:val="00611942"/>
    <w:rsid w:val="00625EF1"/>
    <w:rsid w:val="00630AFD"/>
    <w:rsid w:val="0064500E"/>
    <w:rsid w:val="006522D7"/>
    <w:rsid w:val="00654AA6"/>
    <w:rsid w:val="00656FA1"/>
    <w:rsid w:val="006575B5"/>
    <w:rsid w:val="006644EB"/>
    <w:rsid w:val="0066632F"/>
    <w:rsid w:val="006C04B5"/>
    <w:rsid w:val="006C1F56"/>
    <w:rsid w:val="006C64F7"/>
    <w:rsid w:val="006E2534"/>
    <w:rsid w:val="006F06BC"/>
    <w:rsid w:val="006F430E"/>
    <w:rsid w:val="006F725B"/>
    <w:rsid w:val="006F7BA2"/>
    <w:rsid w:val="00704A6B"/>
    <w:rsid w:val="00704E42"/>
    <w:rsid w:val="0071211E"/>
    <w:rsid w:val="0071543C"/>
    <w:rsid w:val="0072099E"/>
    <w:rsid w:val="007257EE"/>
    <w:rsid w:val="00733361"/>
    <w:rsid w:val="00740747"/>
    <w:rsid w:val="00742943"/>
    <w:rsid w:val="007538BD"/>
    <w:rsid w:val="00756AB3"/>
    <w:rsid w:val="00762697"/>
    <w:rsid w:val="0076673A"/>
    <w:rsid w:val="00781B6F"/>
    <w:rsid w:val="007A7A83"/>
    <w:rsid w:val="007B1638"/>
    <w:rsid w:val="007C07BF"/>
    <w:rsid w:val="007C2B51"/>
    <w:rsid w:val="007E3D17"/>
    <w:rsid w:val="007E65F3"/>
    <w:rsid w:val="007F132D"/>
    <w:rsid w:val="007F424F"/>
    <w:rsid w:val="007F6284"/>
    <w:rsid w:val="007F73E2"/>
    <w:rsid w:val="007F7B32"/>
    <w:rsid w:val="008106F2"/>
    <w:rsid w:val="00811592"/>
    <w:rsid w:val="00812A11"/>
    <w:rsid w:val="00812D35"/>
    <w:rsid w:val="00815715"/>
    <w:rsid w:val="008168AB"/>
    <w:rsid w:val="00831CBF"/>
    <w:rsid w:val="00833337"/>
    <w:rsid w:val="0083476F"/>
    <w:rsid w:val="00836435"/>
    <w:rsid w:val="00871753"/>
    <w:rsid w:val="008747C7"/>
    <w:rsid w:val="00874EA4"/>
    <w:rsid w:val="00881D21"/>
    <w:rsid w:val="008925DF"/>
    <w:rsid w:val="008D2581"/>
    <w:rsid w:val="008E0319"/>
    <w:rsid w:val="008E14C5"/>
    <w:rsid w:val="008F11B1"/>
    <w:rsid w:val="008F4C5C"/>
    <w:rsid w:val="008F728D"/>
    <w:rsid w:val="008F780C"/>
    <w:rsid w:val="00912871"/>
    <w:rsid w:val="009143AF"/>
    <w:rsid w:val="0091485A"/>
    <w:rsid w:val="0091728E"/>
    <w:rsid w:val="00920FDB"/>
    <w:rsid w:val="00922558"/>
    <w:rsid w:val="00930448"/>
    <w:rsid w:val="00934A5D"/>
    <w:rsid w:val="0095487D"/>
    <w:rsid w:val="00955393"/>
    <w:rsid w:val="009606B3"/>
    <w:rsid w:val="00961B9D"/>
    <w:rsid w:val="009646B6"/>
    <w:rsid w:val="00971A5B"/>
    <w:rsid w:val="0098614F"/>
    <w:rsid w:val="0098696A"/>
    <w:rsid w:val="009B55F8"/>
    <w:rsid w:val="009B6423"/>
    <w:rsid w:val="009C0F8F"/>
    <w:rsid w:val="009C4EFA"/>
    <w:rsid w:val="009F7432"/>
    <w:rsid w:val="00A01324"/>
    <w:rsid w:val="00A102F3"/>
    <w:rsid w:val="00A24426"/>
    <w:rsid w:val="00A27D2B"/>
    <w:rsid w:val="00A4062E"/>
    <w:rsid w:val="00A415C3"/>
    <w:rsid w:val="00A45E29"/>
    <w:rsid w:val="00A542AA"/>
    <w:rsid w:val="00A607B1"/>
    <w:rsid w:val="00A66250"/>
    <w:rsid w:val="00A7264B"/>
    <w:rsid w:val="00A74A7A"/>
    <w:rsid w:val="00A7774C"/>
    <w:rsid w:val="00A847BF"/>
    <w:rsid w:val="00A87A16"/>
    <w:rsid w:val="00A9016F"/>
    <w:rsid w:val="00A96A90"/>
    <w:rsid w:val="00AA0C77"/>
    <w:rsid w:val="00AA6ED8"/>
    <w:rsid w:val="00AB0C57"/>
    <w:rsid w:val="00AC420A"/>
    <w:rsid w:val="00AC73DF"/>
    <w:rsid w:val="00AD13E8"/>
    <w:rsid w:val="00AD57E9"/>
    <w:rsid w:val="00AF4FF0"/>
    <w:rsid w:val="00AF61B8"/>
    <w:rsid w:val="00B0631E"/>
    <w:rsid w:val="00B11267"/>
    <w:rsid w:val="00B11795"/>
    <w:rsid w:val="00B15615"/>
    <w:rsid w:val="00B16656"/>
    <w:rsid w:val="00B16DA3"/>
    <w:rsid w:val="00B22AA5"/>
    <w:rsid w:val="00B2649A"/>
    <w:rsid w:val="00B31222"/>
    <w:rsid w:val="00B321DF"/>
    <w:rsid w:val="00B4003F"/>
    <w:rsid w:val="00B40DF8"/>
    <w:rsid w:val="00B42046"/>
    <w:rsid w:val="00B4773E"/>
    <w:rsid w:val="00B5352E"/>
    <w:rsid w:val="00B60EA7"/>
    <w:rsid w:val="00B63D0D"/>
    <w:rsid w:val="00B816BC"/>
    <w:rsid w:val="00B823BA"/>
    <w:rsid w:val="00B83B19"/>
    <w:rsid w:val="00BB2422"/>
    <w:rsid w:val="00BC431C"/>
    <w:rsid w:val="00BC4634"/>
    <w:rsid w:val="00BD1FAD"/>
    <w:rsid w:val="00BD6F0B"/>
    <w:rsid w:val="00BE5403"/>
    <w:rsid w:val="00BF318F"/>
    <w:rsid w:val="00C22E53"/>
    <w:rsid w:val="00C50A46"/>
    <w:rsid w:val="00C522D6"/>
    <w:rsid w:val="00C64ABF"/>
    <w:rsid w:val="00C74AB6"/>
    <w:rsid w:val="00C766E6"/>
    <w:rsid w:val="00C8591D"/>
    <w:rsid w:val="00C92FE6"/>
    <w:rsid w:val="00CA3203"/>
    <w:rsid w:val="00CA7F1E"/>
    <w:rsid w:val="00CC3E8C"/>
    <w:rsid w:val="00CD4133"/>
    <w:rsid w:val="00CD4E43"/>
    <w:rsid w:val="00CD553D"/>
    <w:rsid w:val="00CE17D7"/>
    <w:rsid w:val="00CE799B"/>
    <w:rsid w:val="00CF5915"/>
    <w:rsid w:val="00D01C55"/>
    <w:rsid w:val="00D061AE"/>
    <w:rsid w:val="00D120D4"/>
    <w:rsid w:val="00D20235"/>
    <w:rsid w:val="00D20E43"/>
    <w:rsid w:val="00D33FBC"/>
    <w:rsid w:val="00D42FEF"/>
    <w:rsid w:val="00D46E3A"/>
    <w:rsid w:val="00D51F89"/>
    <w:rsid w:val="00D558E6"/>
    <w:rsid w:val="00D55E26"/>
    <w:rsid w:val="00D912D0"/>
    <w:rsid w:val="00DB40E4"/>
    <w:rsid w:val="00DC2F33"/>
    <w:rsid w:val="00DC445A"/>
    <w:rsid w:val="00DD19D3"/>
    <w:rsid w:val="00DD4463"/>
    <w:rsid w:val="00DD7CEC"/>
    <w:rsid w:val="00DF7AC7"/>
    <w:rsid w:val="00E001A1"/>
    <w:rsid w:val="00E03A65"/>
    <w:rsid w:val="00E040F8"/>
    <w:rsid w:val="00E05698"/>
    <w:rsid w:val="00E15519"/>
    <w:rsid w:val="00E16AFB"/>
    <w:rsid w:val="00E21CC0"/>
    <w:rsid w:val="00E316DB"/>
    <w:rsid w:val="00E31BDD"/>
    <w:rsid w:val="00E3629F"/>
    <w:rsid w:val="00E37507"/>
    <w:rsid w:val="00E4207F"/>
    <w:rsid w:val="00E54580"/>
    <w:rsid w:val="00E6039D"/>
    <w:rsid w:val="00E71CF9"/>
    <w:rsid w:val="00E72B0D"/>
    <w:rsid w:val="00E76B64"/>
    <w:rsid w:val="00E93518"/>
    <w:rsid w:val="00E94E23"/>
    <w:rsid w:val="00E97CEE"/>
    <w:rsid w:val="00EA110F"/>
    <w:rsid w:val="00EA136E"/>
    <w:rsid w:val="00EB33FD"/>
    <w:rsid w:val="00EC1EE9"/>
    <w:rsid w:val="00EC4A99"/>
    <w:rsid w:val="00F0352C"/>
    <w:rsid w:val="00F05F80"/>
    <w:rsid w:val="00F077A0"/>
    <w:rsid w:val="00F131A7"/>
    <w:rsid w:val="00F25A23"/>
    <w:rsid w:val="00F40603"/>
    <w:rsid w:val="00F41ADC"/>
    <w:rsid w:val="00F60DB0"/>
    <w:rsid w:val="00F712AD"/>
    <w:rsid w:val="00F75410"/>
    <w:rsid w:val="00F7594A"/>
    <w:rsid w:val="00F76943"/>
    <w:rsid w:val="00F8355B"/>
    <w:rsid w:val="00F85792"/>
    <w:rsid w:val="00F92A8C"/>
    <w:rsid w:val="00F940B2"/>
    <w:rsid w:val="00F97BEC"/>
    <w:rsid w:val="00FB5ABA"/>
    <w:rsid w:val="00FB5B7C"/>
    <w:rsid w:val="00FD4679"/>
    <w:rsid w:val="00FD6F10"/>
    <w:rsid w:val="00FF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4700DD"/>
  <w15:chartTrackingRefBased/>
  <w15:docId w15:val="{B55E6044-73F2-4F52-ADD9-D339974D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  <w:jc w:val="both"/>
    </w:pPr>
    <w:rPr>
      <w:snapToGrid w:val="0"/>
      <w:sz w:val="28"/>
      <w:szCs w:val="20"/>
    </w:rPr>
  </w:style>
  <w:style w:type="paragraph" w:styleId="2">
    <w:name w:val="Body Text 2"/>
    <w:basedOn w:val="a"/>
    <w:pPr>
      <w:jc w:val="both"/>
    </w:pPr>
    <w:rPr>
      <w:b/>
      <w:i/>
    </w:rPr>
  </w:style>
  <w:style w:type="paragraph" w:styleId="3">
    <w:name w:val="Body Text 3"/>
    <w:basedOn w:val="a"/>
    <w:pPr>
      <w:jc w:val="both"/>
    </w:pPr>
  </w:style>
  <w:style w:type="paragraph" w:styleId="a4">
    <w:name w:val="Body Text Indent"/>
    <w:basedOn w:val="a"/>
    <w:pPr>
      <w:ind w:left="180" w:hanging="180"/>
      <w:jc w:val="both"/>
    </w:pPr>
  </w:style>
  <w:style w:type="character" w:customStyle="1" w:styleId="hps">
    <w:name w:val="hps"/>
    <w:basedOn w:val="a0"/>
    <w:rsid w:val="000F414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F4FF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sid w:val="00AF4FF0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F4FF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sid w:val="00AF4FF0"/>
    <w:rPr>
      <w:rFonts w:ascii="Arial" w:hAnsi="Arial" w:cs="Arial"/>
      <w:vanish/>
      <w:sz w:val="16"/>
      <w:szCs w:val="16"/>
    </w:rPr>
  </w:style>
  <w:style w:type="character" w:customStyle="1" w:styleId="atn">
    <w:name w:val="atn"/>
    <w:basedOn w:val="a0"/>
    <w:rsid w:val="001403FC"/>
  </w:style>
  <w:style w:type="character" w:customStyle="1" w:styleId="longtext">
    <w:name w:val="long_text"/>
    <w:basedOn w:val="a0"/>
    <w:rsid w:val="00287977"/>
  </w:style>
  <w:style w:type="paragraph" w:styleId="a5">
    <w:name w:val="Balloon Text"/>
    <w:basedOn w:val="a"/>
    <w:link w:val="a6"/>
    <w:uiPriority w:val="99"/>
    <w:semiHidden/>
    <w:unhideWhenUsed/>
    <w:rsid w:val="00D55E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55E2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237B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237BD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237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237BD"/>
    <w:rPr>
      <w:sz w:val="24"/>
      <w:szCs w:val="24"/>
    </w:rPr>
  </w:style>
  <w:style w:type="paragraph" w:customStyle="1" w:styleId="rvps2">
    <w:name w:val="rvps2"/>
    <w:basedOn w:val="a"/>
    <w:rsid w:val="00491C9E"/>
    <w:pPr>
      <w:spacing w:before="100" w:beforeAutospacing="1" w:after="100" w:afterAutospacing="1"/>
    </w:pPr>
  </w:style>
  <w:style w:type="character" w:customStyle="1" w:styleId="rvts11">
    <w:name w:val="rvts11"/>
    <w:rsid w:val="00491C9E"/>
  </w:style>
  <w:style w:type="character" w:customStyle="1" w:styleId="shorttext">
    <w:name w:val="short_text"/>
    <w:rsid w:val="004136EF"/>
  </w:style>
  <w:style w:type="character" w:customStyle="1" w:styleId="alt-edited">
    <w:name w:val="alt-edited"/>
    <w:rsid w:val="00C8591D"/>
  </w:style>
  <w:style w:type="paragraph" w:styleId="ab">
    <w:name w:val="Normal (Web)"/>
    <w:basedOn w:val="a"/>
    <w:uiPriority w:val="99"/>
    <w:semiHidden/>
    <w:unhideWhenUsed/>
    <w:rsid w:val="004055C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98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13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37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3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16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687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985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150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083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7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0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77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85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14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303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21A7BDF79B1724B93B31233DCA909D2" ma:contentTypeVersion="11" ma:contentTypeDescription="Создание документа." ma:contentTypeScope="" ma:versionID="8b2f83cefa3a5f9eac7a6d91608a2de5">
  <xsd:schema xmlns:xsd="http://www.w3.org/2001/XMLSchema" xmlns:xs="http://www.w3.org/2001/XMLSchema" xmlns:p="http://schemas.microsoft.com/office/2006/metadata/properties" xmlns:ns2="c37aa8d1-fcb5-4da1-86ca-512179f80953" targetNamespace="http://schemas.microsoft.com/office/2006/metadata/properties" ma:root="true" ma:fieldsID="459f863b118fca6bf4b71d36f4e9606b" ns2:_="">
    <xsd:import namespace="c37aa8d1-fcb5-4da1-86ca-512179f809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7aa8d1-fcb5-4da1-86ca-512179f809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25FB5B-CE48-491B-BD5C-83FAE2E45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7aa8d1-fcb5-4da1-86ca-512179f809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3B7104-1BC9-423A-8EEE-BCF4C04969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3B00F-A653-4675-91DD-6911A5C6A6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6590</Words>
  <Characters>3757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УТВЕРЖДЕНО</vt:lpstr>
      <vt:lpstr>УТВЕРЖДЕНО</vt:lpstr>
    </vt:vector>
  </TitlesOfParts>
  <Company/>
  <LinksUpToDate>false</LinksUpToDate>
  <CharactersWithSpaces>10327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Всеволод Кандыба</dc:creator>
  <cp:keywords/>
  <dc:description/>
  <cp:lastModifiedBy>Protsenko Halyna</cp:lastModifiedBy>
  <cp:revision>7</cp:revision>
  <cp:lastPrinted>2021-07-29T07:47:00Z</cp:lastPrinted>
  <dcterms:created xsi:type="dcterms:W3CDTF">2022-02-10T21:26:00Z</dcterms:created>
  <dcterms:modified xsi:type="dcterms:W3CDTF">2022-02-16T08:07:00Z</dcterms:modified>
</cp:coreProperties>
</file>